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comments.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media/image1.png" ContentType="image/png"/>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
          <w:bCs/>
          <w:i/>
          <w:i/>
          <w:iCs/>
          <w:color w:val="FF0000"/>
          <w:sz w:val="20"/>
          <w:szCs w:val="20"/>
        </w:rPr>
      </w:pPr>
      <w:r>
        <w:rPr>
          <w:rFonts w:cs="Arial" w:ascii="Arial" w:hAnsi="Arial"/>
          <w:b/>
          <w:bCs/>
          <w:i/>
          <w:iCs/>
          <w:color w:val="FF0000"/>
          <w:sz w:val="20"/>
          <w:szCs w:val="20"/>
        </w:rPr>
        <w:drawing>
          <wp:anchor behindDoc="0" distT="0" distB="0" distL="0" distR="0" simplePos="0" locked="0" layoutInCell="0" allowOverlap="1" relativeHeight="2">
            <wp:simplePos x="0" y="0"/>
            <wp:positionH relativeFrom="column">
              <wp:posOffset>2566670</wp:posOffset>
            </wp:positionH>
            <wp:positionV relativeFrom="paragraph">
              <wp:posOffset>-238125</wp:posOffset>
            </wp:positionV>
            <wp:extent cx="701675" cy="710565"/>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01675" cy="710565"/>
                    </a:xfrm>
                    <a:prstGeom prst="rect">
                      <a:avLst/>
                    </a:prstGeom>
                  </pic:spPr>
                </pic:pic>
              </a:graphicData>
            </a:graphic>
          </wp:anchor>
        </w:drawing>
      </w:r>
    </w:p>
    <w:p>
      <w:pPr>
        <w:pStyle w:val="Ttulo1"/>
        <w:jc w:val="center"/>
        <w:rPr>
          <w:color w:val="000000"/>
        </w:rPr>
      </w:pPr>
      <w:r>
        <w:rPr>
          <w:rFonts w:ascii="Carlito" w:hAnsi="Carlito"/>
          <w:color w:val="000000"/>
          <w:sz w:val="24"/>
          <w:szCs w:val="24"/>
        </w:rPr>
        <w:t>M</w:t>
      </w:r>
      <w:bookmarkStart w:id="0" w:name="_Hlk82471863"/>
      <w:r>
        <w:rPr>
          <w:rFonts w:ascii="Carlito" w:hAnsi="Carlito"/>
          <w:color w:val="000000"/>
          <w:sz w:val="24"/>
          <w:szCs w:val="24"/>
        </w:rPr>
        <w:t>ARINHA</w:t>
      </w:r>
      <w:r>
        <w:rPr>
          <w:rFonts w:ascii="Carlito" w:hAnsi="Carlito"/>
          <w:color w:val="000000"/>
          <w:spacing w:val="-3"/>
          <w:sz w:val="24"/>
          <w:szCs w:val="24"/>
        </w:rPr>
        <w:t xml:space="preserve"> </w:t>
      </w:r>
      <w:r>
        <w:rPr>
          <w:rFonts w:ascii="Carlito" w:hAnsi="Carlito"/>
          <w:color w:val="000000"/>
          <w:sz w:val="24"/>
          <w:szCs w:val="24"/>
        </w:rPr>
        <w:t>DO</w:t>
      </w:r>
      <w:r>
        <w:rPr>
          <w:rFonts w:ascii="Carlito" w:hAnsi="Carlito"/>
          <w:color w:val="000000"/>
          <w:spacing w:val="-2"/>
          <w:sz w:val="24"/>
          <w:szCs w:val="24"/>
        </w:rPr>
        <w:t xml:space="preserve"> BRASIL</w:t>
      </w:r>
    </w:p>
    <w:p>
      <w:pPr>
        <w:pStyle w:val="Normal"/>
        <w:ind w:left="0" w:right="-17" w:hanging="0"/>
        <w:jc w:val="center"/>
        <w:rPr>
          <w:rFonts w:ascii="Calibri" w:hAnsi="Calibri" w:cs="Times New Roman"/>
          <w:b w:val="false"/>
          <w:b w:val="false"/>
          <w:bCs w:val="false"/>
          <w:color w:val="000000"/>
          <w:sz w:val="24"/>
          <w:szCs w:val="24"/>
          <w:shd w:fill="auto" w:val="clear"/>
          <w:lang w:eastAsia="ar-SA"/>
        </w:rPr>
      </w:pPr>
      <w:r>
        <w:rPr>
          <w:rFonts w:cs="Times New Roman" w:ascii="Carlito" w:hAnsi="Carlito"/>
          <w:b/>
          <w:bCs w:val="false"/>
          <w:color w:val="000000"/>
          <w:spacing w:val="-2"/>
          <w:sz w:val="24"/>
          <w:szCs w:val="24"/>
          <w:shd w:fill="auto" w:val="clear"/>
          <w:lang w:eastAsia="ar-SA"/>
        </w:rPr>
        <w:t>3° BATALHÃO DE INFANTARIA DE FUZILEIROS NAVAIS</w:t>
      </w:r>
    </w:p>
    <w:p>
      <w:pPr>
        <w:pStyle w:val="Ttulo2"/>
        <w:spacing w:lineRule="exact" w:line="292" w:before="242" w:after="0"/>
        <w:ind w:right="0" w:hanging="0"/>
        <w:rPr>
          <w:rFonts w:ascii="Carlito" w:hAnsi="Carlito"/>
        </w:rPr>
      </w:pPr>
      <w:r>
        <w:rPr>
          <w:rFonts w:ascii="Carlito" w:hAnsi="Carlito"/>
        </w:rPr>
        <w:t>Anexo</w:t>
      </w:r>
      <w:r>
        <w:rPr>
          <w:rFonts w:ascii="Carlito" w:hAnsi="Carlito"/>
          <w:spacing w:val="-2"/>
        </w:rPr>
        <w:t xml:space="preserve"> IV </w:t>
      </w:r>
      <w:r>
        <w:rPr>
          <w:rFonts w:ascii="Carlito" w:hAnsi="Carlito"/>
        </w:rPr>
        <w:t>–</w:t>
      </w:r>
      <w:r>
        <w:rPr>
          <w:rFonts w:ascii="Carlito" w:hAnsi="Carlito"/>
          <w:spacing w:val="-3"/>
        </w:rPr>
        <w:t xml:space="preserve"> </w:t>
      </w:r>
      <w:r>
        <w:rPr>
          <w:rFonts w:ascii="Carlito" w:hAnsi="Carlito"/>
        </w:rPr>
        <w:t>Termo</w:t>
      </w:r>
      <w:r>
        <w:rPr>
          <w:rFonts w:ascii="Carlito" w:hAnsi="Carlito"/>
          <w:spacing w:val="-1"/>
        </w:rPr>
        <w:t xml:space="preserve"> </w:t>
      </w:r>
      <w:r>
        <w:rPr>
          <w:rFonts w:ascii="Carlito" w:hAnsi="Carlito"/>
        </w:rPr>
        <w:t>de</w:t>
      </w:r>
      <w:r>
        <w:rPr>
          <w:rFonts w:ascii="Carlito" w:hAnsi="Carlito"/>
          <w:spacing w:val="-1"/>
        </w:rPr>
        <w:t xml:space="preserve"> R</w:t>
      </w:r>
      <w:r>
        <w:rPr>
          <w:rFonts w:ascii="Carlito" w:hAnsi="Carlito"/>
          <w:spacing w:val="-2"/>
        </w:rPr>
        <w:t>eferência</w:t>
      </w:r>
    </w:p>
    <w:p>
      <w:pPr>
        <w:pStyle w:val="Corpodotexto"/>
        <w:spacing w:lineRule="exact" w:line="292" w:before="120" w:after="288"/>
        <w:jc w:val="center"/>
        <w:rPr/>
      </w:pPr>
      <w:r>
        <w:rPr>
          <w:rFonts w:cs="Arial" w:ascii="Carlito" w:hAnsi="Carlito"/>
          <w:color w:val="000000" w:themeColor="text1"/>
          <w:sz w:val="22"/>
        </w:rPr>
        <w:t>(</w:t>
      </w:r>
      <w:r>
        <w:rPr>
          <w:rFonts w:cs="Arial" w:ascii="Carlito" w:hAnsi="Carlito"/>
          <w:color w:val="000000"/>
        </w:rPr>
        <w:t>Processo</w:t>
      </w:r>
      <w:r>
        <w:rPr>
          <w:rFonts w:cs="Arial" w:ascii="Carlito" w:hAnsi="Carlito"/>
          <w:color w:val="000000"/>
          <w:spacing w:val="-9"/>
        </w:rPr>
        <w:t xml:space="preserve"> </w:t>
      </w:r>
      <w:r>
        <w:rPr>
          <w:rFonts w:cs="Arial" w:ascii="Carlito" w:hAnsi="Carlito"/>
          <w:color w:val="000000"/>
        </w:rPr>
        <w:t>Administrativo</w:t>
      </w:r>
      <w:r>
        <w:rPr>
          <w:rFonts w:cs="Arial" w:ascii="Carlito" w:hAnsi="Carlito"/>
          <w:color w:val="000000"/>
          <w:spacing w:val="-8"/>
        </w:rPr>
        <w:t xml:space="preserve"> </w:t>
      </w:r>
      <w:r>
        <w:rPr>
          <w:rFonts w:cs="Arial" w:ascii="Carlito" w:hAnsi="Carlito"/>
          <w:color w:val="000000"/>
        </w:rPr>
        <w:t>n°</w:t>
      </w:r>
      <w:r>
        <w:rPr>
          <w:rStyle w:val="Nfaseforte"/>
          <w:rFonts w:cs="Arial" w:ascii="Carlito" w:hAnsi="Carlito"/>
          <w:color w:val="000000"/>
          <w:spacing w:val="-5"/>
          <w:sz w:val="22"/>
        </w:rPr>
        <w:t>63090.001820/2024-52</w:t>
      </w:r>
      <w:r>
        <w:rPr>
          <w:rFonts w:cs="Arial" w:ascii="Carlito" w:hAnsi="Carlito"/>
          <w:color w:val="000000"/>
          <w:spacing w:val="-5"/>
          <w:sz w:val="22"/>
        </w:rPr>
        <w:t>)</w:t>
      </w:r>
    </w:p>
    <w:p>
      <w:pPr>
        <w:pStyle w:val="Nivel01"/>
        <w:numPr>
          <w:ilvl w:val="0"/>
          <w:numId w:val="1"/>
        </w:numPr>
        <w:ind w:left="0" w:hanging="0"/>
        <w:rPr/>
      </w:pPr>
      <w:r>
        <w:rPr>
          <w:rFonts w:ascii="Carlito" w:hAnsi="Carlito"/>
          <w:sz w:val="24"/>
          <w:szCs w:val="24"/>
        </w:rPr>
        <w:t>CONDIÇÕES GERAIS DA CONTRATAÇÃO</w:t>
      </w:r>
    </w:p>
    <w:p>
      <w:pPr>
        <w:pStyle w:val="Nivel2"/>
        <w:numPr>
          <w:ilvl w:val="1"/>
          <w:numId w:val="131"/>
        </w:numPr>
        <w:rPr/>
      </w:pPr>
      <w:r>
        <w:rPr/>
        <w:t>Aquisição</w:t>
      </w:r>
      <w:r>
        <w:rPr>
          <w:sz w:val="24"/>
          <w:szCs w:val="24"/>
        </w:rPr>
        <w:t xml:space="preserve"> de </w:t>
      </w:r>
      <w:r>
        <w:rPr>
          <w:b w:val="false"/>
          <w:i w:val="false"/>
          <w:strike w:val="false"/>
          <w:dstrike w:val="false"/>
          <w:outline w:val="false"/>
          <w:shadow w:val="false"/>
          <w:color w:val="000000"/>
          <w:sz w:val="24"/>
          <w:szCs w:val="24"/>
          <w:u w:val="none"/>
          <w:em w:val="none"/>
        </w:rPr>
        <w:t>TONER COMPATÍVEL PARA HP, PRETO – CE285A</w:t>
      </w:r>
      <w:r>
        <w:rPr>
          <w:sz w:val="24"/>
          <w:szCs w:val="24"/>
        </w:rPr>
        <w:t xml:space="preserve"> para atender as necessidades administrativas do 3º Batalh</w:t>
      </w:r>
      <w:r>
        <w:rPr>
          <w:rFonts w:eastAsia="Arial" w:cs="Arial"/>
          <w:color w:val="000000"/>
          <w:kern w:val="0"/>
          <w:sz w:val="24"/>
          <w:szCs w:val="24"/>
          <w:shd w:fill="FFFFFF" w:val="clear"/>
          <w:lang w:val="pt-BR" w:eastAsia="pt-BR" w:bidi="ar-SA"/>
        </w:rPr>
        <w:t>ão de Infantaria de Fuzileiros Navais</w:t>
      </w:r>
      <w:r>
        <w:rPr/>
        <w:t>, nos termos da tabela abaixo, conforme condições e exigências estabelecidas neste instrumento.</w:t>
      </w:r>
    </w:p>
    <w:tbl>
      <w:tblPr>
        <w:tblW w:w="9360" w:type="dxa"/>
        <w:jc w:val="left"/>
        <w:tblInd w:w="109" w:type="dxa"/>
        <w:tblLayout w:type="fixed"/>
        <w:tblCellMar>
          <w:top w:w="0" w:type="dxa"/>
          <w:left w:w="108" w:type="dxa"/>
          <w:bottom w:w="0" w:type="dxa"/>
          <w:right w:w="108" w:type="dxa"/>
        </w:tblCellMar>
        <w:tblLook w:val="04a0" w:noHBand="0" w:noVBand="1" w:firstColumn="1" w:lastRow="0" w:lastColumn="0" w:firstRow="1"/>
      </w:tblPr>
      <w:tblGrid>
        <w:gridCol w:w="731"/>
        <w:gridCol w:w="1819"/>
        <w:gridCol w:w="795"/>
        <w:gridCol w:w="1185"/>
        <w:gridCol w:w="1530"/>
        <w:gridCol w:w="690"/>
        <w:gridCol w:w="1308"/>
        <w:gridCol w:w="1301"/>
      </w:tblGrid>
      <w:tr>
        <w:trPr>
          <w:trHeight w:val="680" w:hRule="atLeast"/>
        </w:trPr>
        <w:tc>
          <w:tcPr>
            <w:tcW w:w="7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val="000000" w:themeColor="text1"/>
              </w:rPr>
              <w:t>ITEM</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val="000000" w:themeColor="text1"/>
              </w:rPr>
              <w:t>ESPECIFICAÇÃO</w:t>
            </w:r>
          </w:p>
        </w:tc>
        <w:tc>
          <w:tcPr>
            <w:tcW w:w="795" w:type="dxa"/>
            <w:tcBorders>
              <w:top w:val="single" w:sz="4" w:space="0" w:color="000000"/>
              <w:left w:val="single" w:sz="4" w:space="0" w:color="000000"/>
              <w:bottom w:val="single" w:sz="4" w:space="0" w:color="000000"/>
            </w:tcBorders>
            <w:vAlign w:val="center"/>
          </w:tcPr>
          <w:p>
            <w:pPr>
              <w:pStyle w:val="Normal"/>
              <w:widowControl w:val="false"/>
              <w:spacing w:lineRule="auto" w:line="312" w:before="120" w:after="288"/>
              <w:jc w:val="center"/>
              <w:rPr>
                <w:rFonts w:ascii="Carlito" w:hAnsi="Carlito"/>
                <w:b/>
                <w:b/>
                <w:bCs/>
              </w:rPr>
            </w:pPr>
            <w:r>
              <w:rPr>
                <w:rFonts w:ascii="Carlito" w:hAnsi="Carlito"/>
                <w:b/>
                <w:bCs/>
              </w:rPr>
              <w:t>PDM</w:t>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val="000000" w:themeColor="text1"/>
              </w:rPr>
              <w:t>CATMAT</w:t>
            </w:r>
          </w:p>
        </w:tc>
        <w:tc>
          <w:tcPr>
            <w:tcW w:w="15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val="000000" w:themeColor="text1"/>
              </w:rPr>
              <w:t>UNIDADEDE MEDIDA</w:t>
            </w:r>
          </w:p>
        </w:tc>
        <w:tc>
          <w:tcPr>
            <w:tcW w:w="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QTD</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MENOR VALOR UNITÁRIO</w:t>
            </w:r>
          </w:p>
        </w:tc>
        <w:tc>
          <w:tcPr>
            <w:tcW w:w="13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rPr>
              <w:t>TOTAL</w:t>
            </w:r>
          </w:p>
        </w:tc>
      </w:tr>
      <w:tr>
        <w:trPr>
          <w:trHeight w:val="680" w:hRule="atLeast"/>
        </w:trPr>
        <w:tc>
          <w:tcPr>
            <w:tcW w:w="7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b/>
                <w:b/>
                <w:bCs/>
              </w:rPr>
            </w:pPr>
            <w:r>
              <w:rPr>
                <w:rFonts w:eastAsia="Arial" w:cs="Arial" w:ascii="Carlito" w:hAnsi="Carlito"/>
                <w:b/>
                <w:bCs/>
                <w:color w:val="000000" w:themeColor="text1"/>
              </w:rPr>
              <w:t>1</w:t>
            </w:r>
          </w:p>
        </w:tc>
        <w:tc>
          <w:tcPr>
            <w:tcW w:w="18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312" w:before="120" w:after="288"/>
              <w:jc w:val="center"/>
              <w:rPr>
                <w:rFonts w:ascii="Carlito" w:hAnsi="Carlito" w:eastAsia="Arial" w:cs="Arial"/>
                <w:color w:val="000000"/>
              </w:rPr>
            </w:pPr>
            <w:r>
              <w:rPr>
                <w:rFonts w:eastAsia="Arial" w:cs="Arial" w:ascii="Carlito" w:hAnsi="Carlito"/>
                <w:color w:val="000000"/>
              </w:rPr>
              <w:t>Toner compat</w:t>
            </w:r>
            <w:r>
              <w:rPr>
                <w:rFonts w:eastAsia="Arial" w:cs="Arial" w:ascii="Carlito" w:hAnsi="Carlito"/>
                <w:color w:val="000000"/>
                <w:kern w:val="0"/>
                <w:sz w:val="24"/>
                <w:szCs w:val="24"/>
                <w:lang w:val="pt-BR" w:eastAsia="pt-BR" w:bidi="ar-SA"/>
              </w:rPr>
              <w:t>ível para HP, Preto –CE285A</w:t>
            </w:r>
          </w:p>
        </w:tc>
        <w:tc>
          <w:tcPr>
            <w:tcW w:w="795" w:type="dxa"/>
            <w:tcBorders>
              <w:top w:val="single" w:sz="4" w:space="0" w:color="000000"/>
              <w:left w:val="single" w:sz="4" w:space="0" w:color="000000"/>
              <w:bottom w:val="single" w:sz="4" w:space="0" w:color="000000"/>
            </w:tcBorders>
            <w:vAlign w:val="center"/>
          </w:tcPr>
          <w:p>
            <w:pPr>
              <w:pStyle w:val="Ttulo6"/>
              <w:widowControl w:val="false"/>
              <w:suppressAutoHyphens w:val="false"/>
              <w:bidi w:val="0"/>
              <w:spacing w:lineRule="auto" w:line="312" w:before="120" w:after="288"/>
              <w:jc w:val="center"/>
              <w:rPr>
                <w:color w:val="000000"/>
              </w:rPr>
            </w:pPr>
            <w:r>
              <w:rPr>
                <w:color w:val="000000"/>
              </w:rPr>
            </w:r>
          </w:p>
          <w:p>
            <w:pPr>
              <w:pStyle w:val="Ttulo6"/>
              <w:widowControl w:val="false"/>
              <w:suppressAutoHyphens w:val="false"/>
              <w:bidi w:val="0"/>
              <w:spacing w:lineRule="auto" w:line="312" w:before="120" w:after="288"/>
              <w:jc w:val="center"/>
              <w:rPr>
                <w:color w:val="000000"/>
              </w:rPr>
            </w:pPr>
            <w:r>
              <w:rPr>
                <w:color w:val="000000"/>
              </w:rPr>
              <w:t>13853</w:t>
            </w:r>
          </w:p>
          <w:p>
            <w:pPr>
              <w:pStyle w:val="Normal"/>
              <w:widowControl w:val="false"/>
              <w:suppressAutoHyphens w:val="false"/>
              <w:bidi w:val="0"/>
              <w:spacing w:lineRule="auto" w:line="312" w:before="120" w:after="288"/>
              <w:jc w:val="center"/>
              <w:rPr>
                <w:color w:val="000000"/>
              </w:rPr>
            </w:pPr>
            <w:r>
              <w:rPr>
                <w:color w:val="000000"/>
              </w:rPr>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bidi w:val="0"/>
              <w:spacing w:lineRule="auto" w:line="312" w:before="120" w:after="288"/>
              <w:jc w:val="center"/>
              <w:rPr>
                <w:color w:val="000000"/>
              </w:rPr>
            </w:pPr>
            <w:r>
              <w:rPr>
                <w:rFonts w:ascii="Calibri" w:hAnsi="Calibri"/>
                <w:b w:val="false"/>
                <w:i w:val="false"/>
                <w:strike w:val="false"/>
                <w:dstrike w:val="false"/>
                <w:outline w:val="false"/>
                <w:shadow w:val="false"/>
                <w:color w:val="000000"/>
                <w:sz w:val="24"/>
                <w:u w:val="none"/>
                <w:em w:val="none"/>
              </w:rPr>
              <w:t>402421</w:t>
            </w:r>
          </w:p>
        </w:tc>
        <w:tc>
          <w:tcPr>
            <w:tcW w:w="15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color w:val="000000"/>
              </w:rPr>
            </w:pPr>
            <w:r>
              <w:rPr>
                <w:rFonts w:eastAsia="Arial" w:cs="Arial" w:ascii="Carlito" w:hAnsi="Carlito"/>
                <w:color w:val="000000"/>
              </w:rPr>
              <w:t>UN</w:t>
            </w:r>
          </w:p>
        </w:tc>
        <w:tc>
          <w:tcPr>
            <w:tcW w:w="6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eastAsia="Arial" w:cs="Arial"/>
                <w:color w:val="000000"/>
                <w:kern w:val="0"/>
                <w:sz w:val="24"/>
                <w:szCs w:val="24"/>
                <w:lang w:val="pt-BR" w:eastAsia="pt-BR" w:bidi="ar-SA"/>
              </w:rPr>
            </w:pPr>
            <w:r>
              <w:rPr>
                <w:rFonts w:eastAsia="Arial" w:cs="Arial" w:ascii="Carlito" w:hAnsi="Carlito"/>
                <w:color w:val="000000"/>
                <w:kern w:val="0"/>
                <w:sz w:val="24"/>
                <w:szCs w:val="24"/>
                <w:lang w:val="pt-BR" w:eastAsia="pt-BR" w:bidi="ar-SA"/>
              </w:rPr>
              <w:t>35</w:t>
            </w:r>
          </w:p>
        </w:tc>
        <w:tc>
          <w:tcPr>
            <w:tcW w:w="130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napToGrid w:val="false"/>
              <w:spacing w:lineRule="auto" w:line="312" w:before="120" w:after="288"/>
              <w:jc w:val="center"/>
              <w:rPr>
                <w:rFonts w:ascii="Carlito" w:hAnsi="Carlito" w:eastAsia="Arial" w:cs="Arial"/>
              </w:rPr>
            </w:pPr>
            <w:r>
              <w:rPr>
                <w:rFonts w:eastAsia="WenQuanYi Micro Hei" w:cs="Calibri Light" w:ascii="Carlito" w:hAnsi="Carlito"/>
                <w:b w:val="false"/>
                <w:i w:val="false"/>
                <w:strike w:val="false"/>
                <w:dstrike w:val="false"/>
                <w:outline w:val="false"/>
                <w:shadow w:val="false"/>
                <w:color w:val="000000"/>
                <w:sz w:val="24"/>
                <w:u w:val="none"/>
                <w:em w:val="none"/>
              </w:rPr>
              <w:t>R$ 23,00</w:t>
            </w:r>
          </w:p>
        </w:tc>
        <w:tc>
          <w:tcPr>
            <w:tcW w:w="13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12" w:before="120" w:after="288"/>
              <w:jc w:val="center"/>
              <w:rPr>
                <w:rFonts w:ascii="Carlito" w:hAnsi="Carlito"/>
              </w:rPr>
            </w:pPr>
            <w:r>
              <w:rPr>
                <w:rFonts w:eastAsia="WenQuanYi Micro Hei" w:cs="Calibri Light" w:ascii="Carlito" w:hAnsi="Carlito"/>
                <w:b w:val="false"/>
                <w:i w:val="false"/>
                <w:strike w:val="false"/>
                <w:dstrike w:val="false"/>
                <w:outline w:val="false"/>
                <w:shadow w:val="false"/>
                <w:color w:val="000000"/>
                <w:sz w:val="24"/>
                <w:u w:val="none"/>
                <w:em w:val="none"/>
              </w:rPr>
              <w:t>R$ 805,00</w:t>
            </w:r>
          </w:p>
        </w:tc>
      </w:tr>
      <w:tr>
        <w:trPr>
          <w:trHeight w:val="451" w:hRule="atLeast"/>
        </w:trPr>
        <w:tc>
          <w:tcPr>
            <w:tcW w:w="2550" w:type="dxa"/>
            <w:gridSpan w:val="2"/>
            <w:tcBorders>
              <w:top w:val="single" w:sz="4" w:space="0" w:color="000000"/>
              <w:left w:val="single" w:sz="4" w:space="0" w:color="000000"/>
              <w:bottom w:val="single" w:sz="4" w:space="0" w:color="000000"/>
            </w:tcBorders>
            <w:vAlign w:val="center"/>
          </w:tcPr>
          <w:p>
            <w:pPr>
              <w:pStyle w:val="Normal"/>
              <w:widowControl w:val="false"/>
              <w:spacing w:lineRule="auto" w:line="312" w:before="120" w:after="288"/>
              <w:jc w:val="center"/>
              <w:rPr>
                <w:rFonts w:ascii="Carlito" w:hAnsi="Carlito"/>
              </w:rPr>
            </w:pPr>
            <w:r>
              <w:rPr>
                <w:rFonts w:ascii="Carlito" w:hAnsi="Carlito"/>
              </w:rPr>
            </w:r>
          </w:p>
        </w:tc>
        <w:tc>
          <w:tcPr>
            <w:tcW w:w="5508" w:type="dxa"/>
            <w:gridSpan w:val="5"/>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312" w:before="120" w:after="288"/>
              <w:jc w:val="center"/>
              <w:rPr>
                <w:rFonts w:ascii="Carlito" w:hAnsi="Carlito"/>
              </w:rPr>
            </w:pPr>
            <w:r>
              <w:rPr>
                <w:rFonts w:eastAsia="Arial" w:cs="Arial" w:ascii="Carlito" w:hAnsi="Carlito"/>
                <w:b/>
                <w:bCs/>
                <w:color w:val="000000" w:themeColor="text1"/>
              </w:rPr>
              <w:t>VALOR TOTAL</w:t>
            </w:r>
          </w:p>
        </w:tc>
        <w:tc>
          <w:tcPr>
            <w:tcW w:w="130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spacing w:lineRule="auto" w:line="312" w:before="120" w:after="288"/>
              <w:jc w:val="center"/>
              <w:rPr>
                <w:rFonts w:ascii="Carlito" w:hAnsi="Carlito"/>
                <w:b/>
                <w:b/>
                <w:bCs/>
              </w:rPr>
            </w:pPr>
            <w:r>
              <w:rPr>
                <w:rFonts w:ascii="Carlito" w:hAnsi="Carlito"/>
                <w:b w:val="false"/>
                <w:bCs/>
                <w:i w:val="false"/>
                <w:strike w:val="false"/>
                <w:dstrike w:val="false"/>
                <w:outline w:val="false"/>
                <w:shadow w:val="false"/>
                <w:color w:val="000000"/>
                <w:sz w:val="24"/>
                <w:u w:val="none"/>
                <w:em w:val="none"/>
              </w:rPr>
              <w:t>R$ 805,00</w:t>
            </w:r>
          </w:p>
        </w:tc>
      </w:tr>
    </w:tbl>
    <w:p>
      <w:pPr>
        <w:pStyle w:val="Nivel2"/>
        <w:numPr>
          <w:ilvl w:val="1"/>
          <w:numId w:val="132"/>
        </w:numPr>
        <w:rPr/>
      </w:pPr>
      <w:r>
        <w:rPr/>
        <w:t>O objeto desta contratação não se enquadra como sendo de bem de luxo, conforme Decreto nº 10.818, de 27 de setembro de 2021.</w:t>
      </w:r>
    </w:p>
    <w:p>
      <w:pPr>
        <w:pStyle w:val="Nvel2Red"/>
        <w:numPr>
          <w:ilvl w:val="1"/>
          <w:numId w:val="133"/>
        </w:numPr>
        <w:rPr>
          <w:color w:val="000000"/>
        </w:rPr>
      </w:pPr>
      <w:r>
        <w:rPr>
          <w:i w:val="false"/>
          <w:iCs w:val="false"/>
          <w:color w:val="000000"/>
        </w:rPr>
        <w:t>O prazo de vigência da contratação é de 12 (doze) meses, contados</w:t>
      </w:r>
      <w:r>
        <w:rPr>
          <w:i w:val="false"/>
          <w:iCs w:val="false"/>
          <w:color w:val="000000"/>
          <w:shd w:fill="auto" w:val="clear"/>
        </w:rPr>
        <w:t xml:space="preserve"> do recebimento do material,</w:t>
      </w:r>
      <w:r>
        <w:rPr>
          <w:i w:val="false"/>
          <w:iCs w:val="false"/>
          <w:color w:val="000000"/>
        </w:rPr>
        <w:t xml:space="preserve"> na forma do artigo 105 da Lei n° 14.133, de 2021.</w:t>
      </w:r>
    </w:p>
    <w:p>
      <w:pPr>
        <w:pStyle w:val="Nivel2"/>
        <w:numPr>
          <w:ilvl w:val="1"/>
          <w:numId w:val="134"/>
        </w:numPr>
        <w:rPr/>
      </w:pPr>
      <w:r>
        <w:rPr/>
        <w:t>O contrato oferece maior detalhamento das regras que serão aplicadas em relação à vigência da contratação.</w:t>
      </w:r>
    </w:p>
    <w:p>
      <w:pPr>
        <w:pStyle w:val="Nivel01"/>
        <w:numPr>
          <w:ilvl w:val="0"/>
          <w:numId w:val="1"/>
        </w:numPr>
        <w:rPr/>
      </w:pPr>
      <w:r>
        <w:rPr>
          <w:rFonts w:ascii="Carlito" w:hAnsi="Carlito"/>
          <w:sz w:val="24"/>
          <w:szCs w:val="24"/>
        </w:rPr>
        <w:t>FUNDAMENTAÇÃO E DESCRIÇÃO DA NECESSIDADE DA CONTRATAÇÃO</w:t>
      </w:r>
    </w:p>
    <w:p>
      <w:pPr>
        <w:pStyle w:val="Nivel2"/>
        <w:numPr>
          <w:ilvl w:val="1"/>
          <w:numId w:val="135"/>
        </w:numPr>
        <w:rPr/>
      </w:pPr>
      <w:commentRangeStart w:id="0"/>
      <w:r>
        <w:rPr/>
        <w:t>A Fundamentação da Contratação e de seus quantitativos encontra-se pormenorizada em Tópico específico dos Estudos Técnicos Preliminares, apêndice deste Termo de Referência.</w:t>
      </w:r>
      <w:commentRangeEnd w:id="0"/>
      <w:r>
        <w:commentReference w:id="0"/>
      </w:r>
      <w:r>
        <w:rPr/>
      </w:r>
    </w:p>
    <w:p>
      <w:pPr>
        <w:pStyle w:val="Nvel2Red"/>
        <w:numPr>
          <w:ilvl w:val="1"/>
          <w:numId w:val="136"/>
        </w:numPr>
        <w:rPr>
          <w:color w:val="000000"/>
        </w:rPr>
      </w:pPr>
      <w:r>
        <w:rPr>
          <w:i w:val="false"/>
          <w:iCs w:val="false"/>
          <w:color w:val="000000"/>
        </w:rPr>
        <w:t>O objeto da contratação está previsto no Programa de Aplicação de Recursos  - 2024, conforme consta das informações básicas desse termo de referência.</w:t>
      </w:r>
    </w:p>
    <w:p>
      <w:pPr>
        <w:pStyle w:val="Nivel01"/>
        <w:numPr>
          <w:ilvl w:val="0"/>
          <w:numId w:val="1"/>
        </w:numPr>
        <w:rPr/>
      </w:pPr>
      <w:r>
        <w:rPr>
          <w:rFonts w:ascii="Carlito" w:hAnsi="Carlito"/>
          <w:sz w:val="24"/>
          <w:szCs w:val="24"/>
        </w:rPr>
        <w:t>DESCRIÇÃO DA SOLUÇÃO COMO UM TODO CONSIDERADO O CICLO DE VIDA DO OBJETO E ESPECIFICAÇÃO DO PRODUTO</w:t>
      </w:r>
    </w:p>
    <w:p>
      <w:pPr>
        <w:pStyle w:val="Nivel2"/>
        <w:numPr>
          <w:ilvl w:val="1"/>
          <w:numId w:val="137"/>
        </w:numPr>
        <w:rPr>
          <w:i/>
          <w:i/>
          <w:iCs/>
        </w:rPr>
      </w:pPr>
      <w:commentRangeStart w:id="1"/>
      <w:r>
        <w:rPr/>
        <w:t>A descrição da solução como um todo encontra-se pormenorizada em tópico específico dos Estudos Técnicos Preliminares, apêndice deste Termo de Referência.</w:t>
      </w:r>
      <w:commentRangeEnd w:id="1"/>
      <w:r>
        <w:commentReference w:id="1"/>
      </w:r>
      <w:r>
        <w:rPr/>
      </w:r>
    </w:p>
    <w:p>
      <w:pPr>
        <w:pStyle w:val="Nivel01"/>
        <w:numPr>
          <w:ilvl w:val="0"/>
          <w:numId w:val="1"/>
        </w:numPr>
        <w:rPr/>
      </w:pPr>
      <w:commentRangeStart w:id="2"/>
      <w:r>
        <w:rPr>
          <w:rFonts w:ascii="Carlito" w:hAnsi="Carlito"/>
          <w:sz w:val="24"/>
          <w:szCs w:val="24"/>
        </w:rPr>
        <w:t>REQUISITOS DA CONTRATAÇÃO</w:t>
      </w:r>
      <w:commentRangeEnd w:id="2"/>
      <w:r>
        <w:commentReference w:id="2"/>
      </w:r>
      <w:r>
        <w:rPr>
          <w:rFonts w:ascii="Carlito" w:hAnsi="Carlito"/>
          <w:sz w:val="24"/>
          <w:szCs w:val="24"/>
        </w:rPr>
      </w:r>
    </w:p>
    <w:p>
      <w:pPr>
        <w:pStyle w:val="Nvel1SemNumPreto"/>
        <w:rPr/>
      </w:pPr>
      <w:r>
        <w:rPr/>
        <w:t>Sustentabilidade:</w:t>
      </w:r>
    </w:p>
    <w:p>
      <w:pPr>
        <w:pStyle w:val="Nivel2"/>
        <w:numPr>
          <w:ilvl w:val="1"/>
          <w:numId w:val="138"/>
        </w:numPr>
        <w:rPr>
          <w:highlight w:val="none"/>
          <w:shd w:fill="auto" w:val="clear"/>
        </w:rPr>
      </w:pPr>
      <w:r>
        <w:rPr>
          <w:shd w:fill="auto" w:val="clear"/>
        </w:rPr>
        <w:t xml:space="preserve">Além dos critérios de sustentabilidade eventualmente inseridos na descrição do objeto, devem ser atendidos os seguintes requisitos, que se baseiam no Guia Nacional de Contratações Sustentáveis: </w:t>
      </w:r>
    </w:p>
    <w:p>
      <w:pPr>
        <w:pStyle w:val="Nvel3R"/>
        <w:numPr>
          <w:ilvl w:val="2"/>
          <w:numId w:val="139"/>
        </w:numPr>
        <w:rPr>
          <w:shd w:fill="FFFF00" w:val="clear"/>
        </w:rPr>
      </w:pPr>
      <w:r>
        <w:rPr/>
        <w:t>4.1.1. A empresa contratada deverá prezar pela promoção do desenvolvimento nacional sustentável, adotar os critérios e práticas de sustentabilidade, em especial os estabelecidos no art. 4º do decreto 7.746/2012, são considerados critérios e práticas sustentáveis, entre outras:</w:t>
      </w:r>
    </w:p>
    <w:p>
      <w:pPr>
        <w:pStyle w:val="Nvel3R"/>
        <w:tabs>
          <w:tab w:val="clear" w:pos="0"/>
          <w:tab w:val="left" w:pos="3750" w:leader="none"/>
        </w:tabs>
        <w:ind w:left="2268" w:hanging="0"/>
        <w:rPr/>
      </w:pPr>
      <w:r>
        <w:rPr/>
        <w:t>I - baixo impacto sobre recursos naturais como flora, fauna, ar, solo e água;</w:t>
      </w:r>
    </w:p>
    <w:p>
      <w:pPr>
        <w:pStyle w:val="Nvel3R"/>
        <w:tabs>
          <w:tab w:val="clear" w:pos="0"/>
          <w:tab w:val="left" w:pos="3750" w:leader="none"/>
        </w:tabs>
        <w:ind w:left="2268" w:hanging="0"/>
        <w:rPr/>
      </w:pPr>
      <w:r>
        <w:rPr/>
        <w:t>II – preferência para materiais, tecnologias e matérias-primas de origem local;</w:t>
      </w:r>
    </w:p>
    <w:p>
      <w:pPr>
        <w:pStyle w:val="Nvel3R"/>
        <w:tabs>
          <w:tab w:val="clear" w:pos="0"/>
          <w:tab w:val="left" w:pos="3750" w:leader="none"/>
        </w:tabs>
        <w:ind w:left="2268" w:hanging="0"/>
        <w:rPr/>
      </w:pPr>
      <w:r>
        <w:rPr/>
        <w:t>III – maior eficiência na utilização de recursos naturais como água e energia;</w:t>
      </w:r>
    </w:p>
    <w:p>
      <w:pPr>
        <w:pStyle w:val="Nvel3R"/>
        <w:tabs>
          <w:tab w:val="clear" w:pos="0"/>
          <w:tab w:val="left" w:pos="3750" w:leader="none"/>
        </w:tabs>
        <w:ind w:left="2268" w:hanging="0"/>
        <w:rPr>
          <w:shd w:fill="FFFF00" w:val="clear"/>
        </w:rPr>
      </w:pPr>
      <w:r>
        <w:rPr/>
        <w:t>IV – maior geração de empregos, preferencialmente com mão de obra local;</w:t>
      </w:r>
    </w:p>
    <w:p>
      <w:pPr>
        <w:pStyle w:val="Nvel3R"/>
        <w:tabs>
          <w:tab w:val="clear" w:pos="0"/>
          <w:tab w:val="left" w:pos="3750" w:leader="none"/>
        </w:tabs>
        <w:ind w:left="2268" w:hanging="0"/>
        <w:rPr>
          <w:shd w:fill="FFFF00" w:val="clear"/>
        </w:rPr>
      </w:pPr>
      <w:r>
        <w:rPr/>
        <w:t>V – maior vida útil e menor custo de manutenção do bem e da obra; VI - uso de inovações que reduzam a pressão sobre recursos naturais; VII - origem sustentável dos recursos naturais utilizados nos bens, nos serviços e nas obras; e VIII - utilização de produtos florestais madeireiros e não madeireiros originários de manejo florestal sustentável ou de reflorestamento.</w:t>
      </w:r>
    </w:p>
    <w:p>
      <w:pPr>
        <w:pStyle w:val="Nvel3R"/>
        <w:numPr>
          <w:ilvl w:val="2"/>
          <w:numId w:val="140"/>
        </w:numPr>
        <w:rPr/>
      </w:pPr>
      <w:r>
        <w:rPr/>
        <w:t>Utilizar produtos de limpeza e conservação de superfícies e objetos inanimados que obedeçam às classificações e especificações determinadas pela ANVISA;</w:t>
      </w:r>
      <w:r>
        <w:rPr>
          <w:shd w:fill="FFFF00" w:val="clear"/>
        </w:rPr>
        <w:t xml:space="preserve"> </w:t>
      </w:r>
    </w:p>
    <w:p>
      <w:pPr>
        <w:pStyle w:val="Nvel1SemNumPreto"/>
        <w:rPr/>
      </w:pPr>
      <w:r>
        <w:rPr/>
        <w:t>Subcontratação</w:t>
      </w:r>
    </w:p>
    <w:p>
      <w:pPr>
        <w:pStyle w:val="Nivel2"/>
        <w:numPr>
          <w:ilvl w:val="1"/>
          <w:numId w:val="141"/>
        </w:numPr>
        <w:rPr>
          <w:shd w:fill="auto" w:val="clear"/>
        </w:rPr>
      </w:pPr>
      <w:r>
        <w:rPr>
          <w:shd w:fill="auto" w:val="clear"/>
        </w:rPr>
        <w:t>4.2 Não é admitida a subcontratação do objeto contratual.</w:t>
      </w:r>
    </w:p>
    <w:p>
      <w:pPr>
        <w:pStyle w:val="Nvel1SemNumPreto"/>
        <w:rPr/>
      </w:pPr>
      <w:commentRangeStart w:id="3"/>
      <w:r>
        <w:rPr/>
        <w:t>Garantia da contratação</w:t>
      </w:r>
      <w:commentRangeEnd w:id="3"/>
      <w:r>
        <w:commentReference w:id="3"/>
      </w:r>
      <w:r>
        <w:rPr/>
      </w:r>
    </w:p>
    <w:p>
      <w:pPr>
        <w:pStyle w:val="Nivel2"/>
        <w:numPr>
          <w:ilvl w:val="1"/>
          <w:numId w:val="142"/>
        </w:numPr>
        <w:rPr/>
      </w:pPr>
      <w:r>
        <w:rPr/>
        <w:t xml:space="preserve">Não haverá exigência da garantia da contratação dos </w:t>
      </w:r>
      <w:r>
        <w:fldChar w:fldCharType="begin"/>
      </w:r>
      <w:r>
        <w:rPr>
          <w:rStyle w:val="LinkdaInternet"/>
          <w:b/>
          <w:bCs/>
        </w:rPr>
        <w:instrText xml:space="preserve"> HYPERLINK "http://www.planalto.gov.br/ccivil_03/_ato2019-2022/2021/lei/L14133.htm" \l "art96"</w:instrText>
      </w:r>
      <w:r>
        <w:rPr>
          <w:rStyle w:val="LinkdaInternet"/>
          <w:b/>
          <w:bCs/>
        </w:rPr>
        <w:fldChar w:fldCharType="separate"/>
      </w:r>
      <w:r>
        <w:rPr>
          <w:rStyle w:val="LinkdaInternet"/>
          <w:b/>
          <w:bCs/>
        </w:rPr>
        <w:t>artigos 96 e seguintes da Lei nº 14.133, de 2021</w:t>
      </w:r>
      <w:r>
        <w:rPr>
          <w:rStyle w:val="LinkdaInternet"/>
          <w:b/>
          <w:bCs/>
        </w:rPr>
        <w:fldChar w:fldCharType="end"/>
      </w:r>
      <w:r>
        <w:rPr/>
        <w:t>, pelas razões constantes do Estudo Técnico Preliminar.</w:t>
      </w:r>
    </w:p>
    <w:p>
      <w:pPr>
        <w:pStyle w:val="Nivel2"/>
        <w:numPr>
          <w:ilvl w:val="1"/>
          <w:numId w:val="143"/>
        </w:numPr>
        <w:rPr/>
      </w:pPr>
      <w:r>
        <w:rPr/>
        <w:t>O contrato ou outro instrumento hábil que o substitua oferece maior detalhamento das regas que serão aplicadas em relação à garantia de contratação.</w:t>
      </w:r>
    </w:p>
    <w:p>
      <w:pPr>
        <w:pStyle w:val="Nivel01"/>
        <w:numPr>
          <w:ilvl w:val="0"/>
          <w:numId w:val="1"/>
        </w:numPr>
        <w:rPr/>
      </w:pPr>
      <w:commentRangeStart w:id="4"/>
      <w:r>
        <w:rPr>
          <w:rFonts w:ascii="Carlito" w:hAnsi="Carlito"/>
          <w:sz w:val="24"/>
          <w:szCs w:val="24"/>
        </w:rPr>
        <w:t>MODELO DE EXECUÇÃO DO OBJETO</w:t>
      </w:r>
      <w:commentRangeEnd w:id="4"/>
      <w:r>
        <w:commentReference w:id="4"/>
      </w:r>
      <w:r>
        <w:rPr>
          <w:rFonts w:ascii="Carlito" w:hAnsi="Carlito"/>
          <w:sz w:val="24"/>
          <w:szCs w:val="24"/>
        </w:rPr>
      </w:r>
    </w:p>
    <w:p>
      <w:pPr>
        <w:pStyle w:val="Nvel1SemNum"/>
        <w:rPr/>
      </w:pPr>
      <w:r>
        <w:rPr/>
        <w:t>Condições de Entrega</w:t>
      </w:r>
    </w:p>
    <w:p>
      <w:pPr>
        <w:pStyle w:val="Nivel2"/>
        <w:numPr>
          <w:ilvl w:val="1"/>
          <w:numId w:val="144"/>
        </w:numPr>
        <w:rPr/>
      </w:pPr>
      <w:r>
        <w:rPr/>
        <w:t xml:space="preserve">O prazo de entrega dos bens é de </w:t>
      </w:r>
      <w:r>
        <w:rPr>
          <w:i/>
          <w:iCs/>
        </w:rPr>
        <w:t>5</w:t>
      </w:r>
      <w:r>
        <w:rPr/>
        <w:t xml:space="preserve"> (</w:t>
      </w:r>
      <w:r>
        <w:rPr>
          <w:i/>
          <w:iCs/>
        </w:rPr>
        <w:t>cinco</w:t>
      </w:r>
      <w:r>
        <w:rPr/>
        <w:t>) dias, contados do recebimento da nota de emprenho, em remessa única.</w:t>
      </w:r>
    </w:p>
    <w:p>
      <w:pPr>
        <w:pStyle w:val="Normal"/>
        <w:numPr>
          <w:ilvl w:val="0"/>
          <w:numId w:val="145"/>
        </w:numPr>
        <w:tabs>
          <w:tab w:val="clear" w:pos="708"/>
          <w:tab w:val="left" w:pos="450" w:leader="none"/>
        </w:tabs>
        <w:jc w:val="both"/>
        <w:rPr>
          <w:rFonts w:ascii="Carlito" w:hAnsi="Carlito"/>
        </w:rPr>
      </w:pPr>
      <w:r>
        <w:rPr>
          <w:rStyle w:val="Fontepargpadro"/>
          <w:rFonts w:cs="Calibri" w:ascii="Carlito" w:hAnsi="Carlito"/>
          <w:color w:val="000000"/>
        </w:rPr>
        <w:t xml:space="preserve">O material deverá ser de qualidade igual ou superior ao especificado na descrição do objeto contante no item 4,  deste estudo; e a entrega deverá ser realizada na sede da contratante, localizada na </w:t>
      </w:r>
      <w:r>
        <w:rPr>
          <w:rStyle w:val="Fontepargpadro"/>
          <w:rFonts w:eastAsia="Calibri" w:cs="Arial" w:ascii="Calibri" w:hAnsi="Calibri"/>
          <w:color w:val="000000"/>
          <w:lang w:bidi="ar-SA"/>
        </w:rPr>
        <w:t>Estrada do Quilombo s/nº Ilha do Governador/Bananal CEP: 21911-016; Rio de Janeiro – RJ no 3º Batalhão de Infantaria de Fuzileiros Navais ,</w:t>
      </w:r>
      <w:r>
        <w:rPr>
          <w:rStyle w:val="Fontepargpadro"/>
          <w:rFonts w:eastAsia="Times New Roman" w:cs="Arial" w:ascii="Calibri" w:hAnsi="Calibri"/>
          <w:color w:val="000000"/>
          <w:lang w:eastAsia="pt-BR"/>
        </w:rPr>
        <w:t xml:space="preserve"> no horário de atendimento de 09:30 às 11:30 horas e das 13:30 às 15:00 horas de segunda a sexta-feira,</w:t>
      </w:r>
      <w:r>
        <w:rPr>
          <w:rStyle w:val="Fontepargpadro"/>
          <w:rFonts w:cs="Calibri" w:ascii="Calibri" w:hAnsi="Calibri"/>
          <w:color w:val="000000"/>
        </w:rPr>
        <w:t xml:space="preserve"> a contar da data de recebimento da Nota de Empenho, podendo ser eletronicamente (via e-mail, com prazo de 48 horas para confirmação do recebimento do e-mail – transcorrido o referido prazo, iniciará automaticamente a contagem do prazo de 5 dias para o entrega).  Para mais informações entrar em contato. </w:t>
      </w:r>
      <w:r>
        <w:rPr>
          <w:rStyle w:val="Fontepargpadro"/>
          <w:rFonts w:cs="Calibri" w:ascii="Calibri" w:hAnsi="Calibri"/>
          <w:color w:val="000000"/>
          <w:sz w:val="24"/>
          <w:szCs w:val="24"/>
        </w:rPr>
        <w:t>E-mail:"bruno.salles@marinha.mil.br&gt;; Telefone: (21) 3386-4470.</w:t>
      </w:r>
    </w:p>
    <w:p>
      <w:pPr>
        <w:pStyle w:val="Nvel1SemNumPreto"/>
        <w:rPr/>
      </w:pPr>
      <w:commentRangeStart w:id="5"/>
      <w:r>
        <w:rPr/>
        <w:t>Garantia, manutenção e assistência técnica</w:t>
      </w:r>
      <w:commentRangeEnd w:id="5"/>
      <w:r>
        <w:commentReference w:id="5"/>
      </w:r>
      <w:r>
        <w:rPr/>
      </w:r>
    </w:p>
    <w:p>
      <w:pPr>
        <w:pStyle w:val="Nvel2Red"/>
        <w:numPr>
          <w:ilvl w:val="1"/>
          <w:numId w:val="146"/>
        </w:numPr>
        <w:ind w:left="0" w:hanging="0"/>
        <w:rPr>
          <w:color w:val="000000"/>
        </w:rPr>
      </w:pPr>
      <w:commentRangeStart w:id="6"/>
      <w:r>
        <w:rPr>
          <w:color w:val="000000"/>
        </w:rPr>
        <w:t xml:space="preserve">O prazo de garantia contratual dos bens, complementar à garantia legal, será de, no mínimo, 12 (doze) meses, contado a partir do primeiro dia útil subsequente à data do recebimento definitivo do objeto. </w:t>
      </w:r>
    </w:p>
    <w:p>
      <w:pPr>
        <w:pStyle w:val="Nvel2Red"/>
        <w:numPr>
          <w:ilvl w:val="1"/>
          <w:numId w:val="147"/>
        </w:numPr>
        <w:ind w:left="0" w:hanging="0"/>
        <w:rPr>
          <w:color w:val="000000"/>
        </w:rPr>
      </w:pPr>
      <w:r>
        <w:rPr>
          <w:color w:val="000000"/>
        </w:rPr>
        <w:t xml:space="preserve">Caso o prazo da garantia oferecida pelo fabricante seja inferior ao estabelecido nesta cláusula, o fornecedor deverá complementar a garantia do bem ofertado pelo período restante. </w:t>
      </w:r>
      <w:commentRangeEnd w:id="6"/>
      <w:r>
        <w:commentReference w:id="6"/>
      </w:r>
      <w:r>
        <w:rPr>
          <w:color w:val="000000"/>
        </w:rPr>
      </w:r>
    </w:p>
    <w:p>
      <w:pPr>
        <w:pStyle w:val="Nivel01"/>
        <w:numPr>
          <w:ilvl w:val="0"/>
          <w:numId w:val="1"/>
        </w:numPr>
        <w:rPr/>
      </w:pPr>
      <w:r>
        <w:rPr>
          <w:rFonts w:ascii="Carlito" w:hAnsi="Carlito"/>
          <w:sz w:val="24"/>
          <w:szCs w:val="24"/>
        </w:rPr>
        <w:t>MODELO DE GESTÃO DO CONTRATO</w:t>
      </w:r>
    </w:p>
    <w:p>
      <w:pPr>
        <w:pStyle w:val="Nivel2"/>
        <w:numPr>
          <w:ilvl w:val="1"/>
          <w:numId w:val="148"/>
        </w:numPr>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49"/>
        </w:numPr>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50"/>
        </w:numPr>
        <w:rPr/>
      </w:pPr>
      <w:r>
        <w:rPr/>
        <w:t>As comunicações entre o órgão ou entidade e a contratada devem ser realizadas por escrito sempre que o ato exigir tal formalidade, admitindo-se o uso de mensagem eletrônica para esse fim.</w:t>
      </w:r>
    </w:p>
    <w:p>
      <w:pPr>
        <w:pStyle w:val="Nivel2"/>
        <w:numPr>
          <w:ilvl w:val="1"/>
          <w:numId w:val="151"/>
        </w:numPr>
        <w:rPr/>
      </w:pPr>
      <w:r>
        <w:rPr/>
        <w:t>O órgão ou entidade poderá convocar representante da empresa para adoção de providências que devam ser cumpridas de imediato.</w:t>
      </w:r>
    </w:p>
    <w:p>
      <w:pPr>
        <w:pStyle w:val="Nivel2"/>
        <w:numPr>
          <w:ilvl w:val="1"/>
          <w:numId w:val="152"/>
        </w:numPr>
        <w:rPr/>
      </w:pPr>
      <w:r>
        <w:rPr/>
        <w:t xml:space="preserve"> </w:t>
      </w:r>
      <w:r>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1"/>
          <w:numId w:val="153"/>
        </w:numPr>
        <w:rPr/>
      </w:pPr>
      <w:r>
        <w:rPr/>
        <w:t>Fiscalização</w:t>
      </w:r>
    </w:p>
    <w:p>
      <w:pPr>
        <w:pStyle w:val="Nivel2"/>
        <w:numPr>
          <w:ilvl w:val="1"/>
          <w:numId w:val="154"/>
        </w:numPr>
        <w:rPr/>
      </w:pPr>
      <w:commentRangeStart w:id="7"/>
      <w:r>
        <w:rPr/>
        <w:t>A execução do contrato deverá ser acompanhada e fiscalizada pelo(s) fiscal(is) do contrato, ou pelos respectivos substitutos (</w:t>
      </w:r>
      <w:r>
        <w:fldChar w:fldCharType="begin"/>
      </w:r>
      <w:r>
        <w:rPr>
          <w:rStyle w:val="LinkdaInternet"/>
        </w:rPr>
        <w:instrText xml:space="preserve"> HYPERLINK "http://www.planalto.gov.br/ccivil_03/_ato2019-2022/2021/lei/L14133.htm" \l "art117"</w:instrText>
      </w:r>
      <w:r>
        <w:rPr>
          <w:rStyle w:val="LinkdaInternet"/>
        </w:rPr>
        <w:fldChar w:fldCharType="separate"/>
      </w:r>
      <w:r>
        <w:rPr>
          <w:rStyle w:val="LinkdaInternet"/>
        </w:rPr>
        <w:t>Lei nº 14.133, de 2021, art. 117, caput</w:t>
      </w:r>
      <w:r>
        <w:rPr>
          <w:rStyle w:val="LinkdaInternet"/>
        </w:rPr>
        <w:fldChar w:fldCharType="end"/>
      </w:r>
      <w:r>
        <w:rPr/>
        <w:t>).</w:t>
      </w:r>
    </w:p>
    <w:p>
      <w:pPr>
        <w:pStyle w:val="Nvel1SemNumPreto"/>
        <w:rPr/>
      </w:pPr>
      <w:r>
        <w:rPr/>
        <w:t>Fiscalização Técnica</w:t>
      </w:r>
    </w:p>
    <w:p>
      <w:pPr>
        <w:pStyle w:val="Nivel2"/>
        <w:numPr>
          <w:ilvl w:val="1"/>
          <w:numId w:val="155"/>
        </w:numPr>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56"/>
        </w:numPr>
        <w:rPr/>
      </w:pPr>
      <w:r>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commentRangeEnd w:id="7"/>
      <w:r>
        <w:commentReference w:id="7"/>
      </w:r>
      <w:r>
        <w:rPr/>
      </w:r>
    </w:p>
    <w:p>
      <w:pPr>
        <w:pStyle w:val="Nivel3"/>
        <w:numPr>
          <w:ilvl w:val="2"/>
          <w:numId w:val="157"/>
        </w:numPr>
        <w:rPr/>
      </w:pPr>
      <w:r>
        <w:rPr/>
        <w:t xml:space="preserve">Identificada qualquer inexatidão ou irregularidade, o fiscal técnico do contrato emitirá notificações para a correção da execução do contrato, determinando prazo para a correção. (Decreto nº 11.246, de 2022, art. 22, III); </w:t>
      </w:r>
    </w:p>
    <w:p>
      <w:pPr>
        <w:pStyle w:val="Nivel3"/>
        <w:numPr>
          <w:ilvl w:val="2"/>
          <w:numId w:val="158"/>
        </w:numPr>
        <w:rPr/>
      </w:pPr>
      <w:r>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pPr>
        <w:pStyle w:val="Nivel3"/>
        <w:numPr>
          <w:ilvl w:val="2"/>
          <w:numId w:val="159"/>
        </w:numPr>
        <w:rPr/>
      </w:pPr>
      <w:r>
        <w:rPr/>
        <w:t>No caso de ocorrências que possam inviabilizar a execução do contrato nas datas aprazadas, o fiscal técnico do contrato comunicará o fato imediatamente ao gestor do contrato. (Decreto nº 11.246, de 2022, art. 22, V).</w:t>
      </w:r>
    </w:p>
    <w:p>
      <w:pPr>
        <w:pStyle w:val="Nivel3"/>
        <w:numPr>
          <w:ilvl w:val="2"/>
          <w:numId w:val="160"/>
        </w:numPr>
        <w:rPr/>
      </w:pPr>
      <w:r>
        <w:rPr/>
        <w:t>O fiscal técnico do contrato comunicará ao gestor do contrato, em tempo hábil, o término do contrato sob sua responsabilidade, com vistas à renovação tempestiva ou à prorrogação contratual (Decreto nº 11.246, de 2022, art. 22, VII).</w:t>
      </w:r>
    </w:p>
    <w:p>
      <w:pPr>
        <w:pStyle w:val="Nivel3"/>
        <w:tabs>
          <w:tab w:val="clear" w:pos="0"/>
          <w:tab w:val="left" w:pos="900" w:leader="none"/>
        </w:tabs>
        <w:ind w:left="360" w:hanging="0"/>
        <w:rPr/>
      </w:pPr>
      <w:r>
        <w:rPr>
          <w:b/>
          <w:bCs/>
        </w:rPr>
        <w:t>Fiscalização Administrativa</w:t>
      </w:r>
    </w:p>
    <w:p>
      <w:pPr>
        <w:pStyle w:val="Nivel2"/>
        <w:numPr>
          <w:ilvl w:val="1"/>
          <w:numId w:val="161"/>
        </w:numPr>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rPr>
        <w:instrText xml:space="preserve"> HYPERLINK "https://www.planalto.gov.br/ccivil_03/_ato2019-2022/2022/Decreto/D11246.htm" \l "art23"</w:instrText>
      </w:r>
      <w:r>
        <w:rPr>
          <w:rStyle w:val="LinkdaInternet"/>
        </w:rPr>
        <w:fldChar w:fldCharType="separate"/>
      </w:r>
      <w:r>
        <w:rPr>
          <w:rStyle w:val="LinkdaInternet"/>
        </w:rPr>
        <w:t>Art. 23, I e II, do Decreto nº 11.246, de 2022</w:t>
      </w:r>
      <w:r>
        <w:rPr>
          <w:rStyle w:val="LinkdaInternet"/>
        </w:rPr>
        <w:fldChar w:fldCharType="end"/>
      </w:r>
      <w:r>
        <w:rPr/>
        <w:t>).</w:t>
      </w:r>
    </w:p>
    <w:p>
      <w:pPr>
        <w:pStyle w:val="Nivel3"/>
        <w:numPr>
          <w:ilvl w:val="2"/>
          <w:numId w:val="162"/>
        </w:numPr>
        <w:rPr/>
      </w:pPr>
      <w:r>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1SemNumPreto"/>
        <w:rPr/>
      </w:pPr>
      <w:r>
        <w:rPr/>
        <w:t>Gestor do Contrato</w:t>
      </w:r>
    </w:p>
    <w:p>
      <w:pPr>
        <w:pStyle w:val="Nivel2"/>
        <w:numPr>
          <w:ilvl w:val="1"/>
          <w:numId w:val="163"/>
        </w:numPr>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64"/>
        </w:numPr>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65"/>
        </w:numPr>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66"/>
        </w:numPr>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67"/>
        </w:numPr>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68"/>
        </w:numPr>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69"/>
        </w:numPr>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rPr/>
      </w:pPr>
      <w:r>
        <w:rPr>
          <w:rFonts w:ascii="Carlito" w:hAnsi="Carlito"/>
          <w:sz w:val="24"/>
          <w:szCs w:val="24"/>
        </w:rPr>
        <w:t>CRITÉRIOS DE MEDIÇÃO E DE PAGAMENTO</w:t>
      </w:r>
    </w:p>
    <w:p>
      <w:pPr>
        <w:pStyle w:val="Nvel1SemNumPreto"/>
        <w:rPr/>
      </w:pPr>
      <w:r>
        <w:rPr/>
        <w:t>Recebimento</w:t>
      </w:r>
    </w:p>
    <w:p>
      <w:pPr>
        <w:pStyle w:val="Nivel2"/>
        <w:numPr>
          <w:ilvl w:val="1"/>
          <w:numId w:val="170"/>
        </w:numPr>
        <w:rPr/>
      </w:pPr>
      <w:commentRangeStart w:id="8"/>
      <w:r>
        <w:rPr>
          <w:lang w:eastAsia="en-US"/>
        </w:rPr>
        <w:t>Os bens serão recebidos provisoriamente, de forma sumária</w:t>
      </w:r>
      <w:r>
        <w:rPr>
          <w:lang w:eastAsia="en-US"/>
        </w:rPr>
      </w:r>
      <w:commentRangeEnd w:id="8"/>
      <w:r>
        <w:commentReference w:id="8"/>
      </w:r>
      <w:r>
        <w:rPr>
          <w:lang w:eastAsia="en-US"/>
        </w:rPr>
        <w:t xml:space="preserve">,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numPr>
          <w:ilvl w:val="1"/>
          <w:numId w:val="171"/>
        </w:numPr>
        <w:rPr/>
      </w:pPr>
      <w:r>
        <w:rPr>
          <w:lang w:eastAsia="en-US"/>
        </w:rPr>
        <w:t>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pPr>
        <w:pStyle w:val="Nivel2"/>
        <w:numPr>
          <w:ilvl w:val="1"/>
          <w:numId w:val="172"/>
        </w:numPr>
        <w:rPr/>
      </w:pPr>
      <w:commentRangeStart w:id="9"/>
      <w:r>
        <w:rPr>
          <w:lang w:eastAsia="en-US"/>
        </w:rPr>
        <w:t>O recebimento definitivo ocorrerá no prazo de 10 (dez) dias,</w:t>
      </w:r>
      <w:r>
        <w:rPr>
          <w:color w:val="FF0000"/>
          <w:lang w:eastAsia="en-US"/>
        </w:rPr>
        <w:t xml:space="preserve"> </w:t>
      </w:r>
      <w:r>
        <w:rPr>
          <w:lang w:eastAsia="en-US"/>
        </w:rPr>
        <w:t>a contar do recebimento da nota fiscal ou instrumento de cobrança equivalente pela Administração, após a verificação da qualidade e quantidade do material e consequente aceitação mediante termo detalhado.</w:t>
      </w:r>
      <w:commentRangeEnd w:id="9"/>
      <w:r>
        <w:commentReference w:id="9"/>
      </w:r>
      <w:r>
        <w:rPr>
          <w:lang w:eastAsia="en-US"/>
        </w:rPr>
      </w:r>
    </w:p>
    <w:p>
      <w:pPr>
        <w:pStyle w:val="Nivel2"/>
        <w:numPr>
          <w:ilvl w:val="1"/>
          <w:numId w:val="173"/>
        </w:numPr>
        <w:rPr/>
      </w:pPr>
      <w:commentRangeStart w:id="10"/>
      <w:r>
        <w:rPr>
          <w:lang w:eastAsia="en-US"/>
        </w:rPr>
        <w:t xml:space="preserve">Para as contratações decorrentes de despesas cujos valores não ultrapassem o limite de que trata o </w:t>
      </w:r>
      <w:r>
        <w:fldChar w:fldCharType="begin"/>
      </w:r>
      <w:r>
        <w:rPr>
          <w:rStyle w:val="LinkdaInternet"/>
          <w:lang w:eastAsia="en-US"/>
        </w:rPr>
        <w:instrText xml:space="preserve"> HYPERLINK "http://www.planalto.gov.br/ccivil_03/_ato2019-2022/2021/lei/L14133.htm" \l "art75"</w:instrText>
      </w:r>
      <w:r>
        <w:rPr>
          <w:rStyle w:val="LinkdaInternet"/>
          <w:lang w:eastAsia="en-US"/>
        </w:rPr>
        <w:fldChar w:fldCharType="separate"/>
      </w:r>
      <w:r>
        <w:rPr>
          <w:rStyle w:val="LinkdaInternet"/>
          <w:lang w:eastAsia="en-US"/>
        </w:rPr>
        <w:t>inciso II do art. 75 da Lei nº 14.133, de 2021</w:t>
      </w:r>
      <w:r>
        <w:rPr>
          <w:rStyle w:val="LinkdaInternet"/>
          <w:lang w:eastAsia="en-US"/>
        </w:rPr>
        <w:fldChar w:fldCharType="end"/>
      </w:r>
      <w:r>
        <w:rPr>
          <w:lang w:eastAsia="en-US"/>
        </w:rPr>
        <w:t>, o prazo máximo para o recebimento definitivo será de até 5 (cinco)</w:t>
      </w:r>
      <w:r>
        <w:rPr>
          <w:color w:val="FF0000"/>
          <w:lang w:eastAsia="en-US"/>
        </w:rPr>
        <w:t xml:space="preserve"> </w:t>
      </w:r>
      <w:r>
        <w:rPr>
          <w:lang w:eastAsia="en-US"/>
        </w:rPr>
        <w:t>dias.</w:t>
      </w:r>
      <w:commentRangeEnd w:id="10"/>
      <w:r>
        <w:commentReference w:id="10"/>
      </w:r>
      <w:r>
        <w:rPr>
          <w:lang w:eastAsia="en-US"/>
        </w:rPr>
      </w:r>
    </w:p>
    <w:p>
      <w:pPr>
        <w:pStyle w:val="Nivel2"/>
        <w:numPr>
          <w:ilvl w:val="1"/>
          <w:numId w:val="174"/>
        </w:numPr>
        <w:rPr/>
      </w:pPr>
      <w:r>
        <w:rPr>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175"/>
        </w:numPr>
        <w:rPr>
          <w:lang w:eastAsia="en-US"/>
        </w:rPr>
      </w:pPr>
      <w:r>
        <w:rPr>
          <w:lang w:eastAsia="en-US"/>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pPr>
        <w:pStyle w:val="Nivel2"/>
        <w:numPr>
          <w:ilvl w:val="1"/>
          <w:numId w:val="176"/>
        </w:numPr>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77"/>
        </w:numPr>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rPr/>
      </w:pPr>
      <w:r>
        <w:rPr/>
        <w:t>Liquidação</w:t>
      </w:r>
    </w:p>
    <w:p>
      <w:pPr>
        <w:pStyle w:val="Nivel2"/>
        <w:numPr>
          <w:ilvl w:val="1"/>
          <w:numId w:val="178"/>
        </w:numPr>
        <w:rPr/>
      </w:pPr>
      <w:r>
        <w:rPr>
          <w:lang w:eastAsia="en-US"/>
        </w:rPr>
        <w:t>Recebida a Nota Fiscal ou documento de cobrança equivalente, correrá o prazo de dez dias úteis para fins de liquidação, na forma desta seção, prorrogáveis por igual período, nos termos do art. 7º, §3</w:t>
      </w:r>
      <w:r>
        <w:rPr>
          <w:rStyle w:val="LinkdaInternet"/>
          <w:lang w:eastAsia="en-US"/>
        </w:rPr>
        <w:t>º da Instrução Normativa SEGES/ME nº 77/2022</w:t>
      </w:r>
      <w:r>
        <w:rPr>
          <w:lang w:eastAsia="en-US"/>
        </w:rPr>
        <w:t>.</w:t>
      </w:r>
    </w:p>
    <w:p>
      <w:pPr>
        <w:pStyle w:val="Nivel3"/>
        <w:numPr>
          <w:ilvl w:val="2"/>
          <w:numId w:val="179"/>
        </w:numPr>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rPr>
        <w:instrText xml:space="preserve"> HYPERLINK "http://www.planalto.gov.br/ccivil_03/_ato2019-2022/2021/lei/L14133.htm" \l "art75"</w:instrText>
      </w:r>
      <w:r>
        <w:rPr>
          <w:rStyle w:val="LinkdaInternet"/>
        </w:rPr>
        <w:fldChar w:fldCharType="separate"/>
      </w:r>
      <w:r>
        <w:rPr>
          <w:rStyle w:val="LinkdaInternet"/>
        </w:rPr>
        <w:t>inciso II do art. 75 da Lei nº 14.133, de 2021</w:t>
      </w:r>
      <w:r>
        <w:rPr>
          <w:rStyle w:val="LinkdaInternet"/>
        </w:rPr>
        <w:fldChar w:fldCharType="end"/>
      </w:r>
      <w:r>
        <w:rPr/>
        <w:t>.</w:t>
      </w:r>
    </w:p>
    <w:p>
      <w:pPr>
        <w:pStyle w:val="Nivel2"/>
        <w:numPr>
          <w:ilvl w:val="1"/>
          <w:numId w:val="180"/>
        </w:numPr>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81"/>
        </w:numPr>
        <w:rPr>
          <w:lang w:eastAsia="en-US"/>
        </w:rPr>
      </w:pPr>
      <w:r>
        <w:rPr>
          <w:lang w:eastAsia="en-US"/>
        </w:rPr>
        <w:t>o prazo de validade;</w:t>
      </w:r>
    </w:p>
    <w:p>
      <w:pPr>
        <w:pStyle w:val="Nivel3"/>
        <w:numPr>
          <w:ilvl w:val="2"/>
          <w:numId w:val="182"/>
        </w:numPr>
        <w:rPr>
          <w:lang w:eastAsia="en-US"/>
        </w:rPr>
      </w:pPr>
      <w:r>
        <w:rPr>
          <w:lang w:eastAsia="en-US"/>
        </w:rPr>
        <w:t xml:space="preserve">a data da emissão; </w:t>
      </w:r>
    </w:p>
    <w:p>
      <w:pPr>
        <w:pStyle w:val="Nivel3"/>
        <w:numPr>
          <w:ilvl w:val="2"/>
          <w:numId w:val="183"/>
        </w:numPr>
        <w:rPr>
          <w:lang w:eastAsia="en-US"/>
        </w:rPr>
      </w:pPr>
      <w:r>
        <w:rPr>
          <w:lang w:eastAsia="en-US"/>
        </w:rPr>
        <w:t xml:space="preserve">os dados do contrato e do órgão contratante; </w:t>
      </w:r>
    </w:p>
    <w:p>
      <w:pPr>
        <w:pStyle w:val="Nivel3"/>
        <w:numPr>
          <w:ilvl w:val="2"/>
          <w:numId w:val="184"/>
        </w:numPr>
        <w:rPr>
          <w:lang w:eastAsia="en-US"/>
        </w:rPr>
      </w:pPr>
      <w:r>
        <w:rPr>
          <w:lang w:eastAsia="en-US"/>
        </w:rPr>
        <w:t xml:space="preserve">o período respectivo de execução do contrato; </w:t>
      </w:r>
    </w:p>
    <w:p>
      <w:pPr>
        <w:pStyle w:val="Nivel3"/>
        <w:numPr>
          <w:ilvl w:val="2"/>
          <w:numId w:val="185"/>
        </w:numPr>
        <w:rPr>
          <w:lang w:eastAsia="en-US"/>
        </w:rPr>
      </w:pPr>
      <w:r>
        <w:rPr>
          <w:lang w:eastAsia="en-US"/>
        </w:rPr>
        <w:t xml:space="preserve">o valor a pagar; e </w:t>
      </w:r>
    </w:p>
    <w:p>
      <w:pPr>
        <w:pStyle w:val="Nivel3"/>
        <w:numPr>
          <w:ilvl w:val="2"/>
          <w:numId w:val="186"/>
        </w:numPr>
        <w:rPr>
          <w:lang w:eastAsia="en-US"/>
        </w:rPr>
      </w:pPr>
      <w:r>
        <w:rPr>
          <w:lang w:eastAsia="en-US"/>
        </w:rPr>
        <w:t>eventual destaque do valor de retenções tributárias cabíveis.</w:t>
      </w:r>
    </w:p>
    <w:p>
      <w:pPr>
        <w:pStyle w:val="Nivel2"/>
        <w:numPr>
          <w:ilvl w:val="1"/>
          <w:numId w:val="187"/>
        </w:numPr>
        <w:rPr/>
      </w:pPr>
      <w:r>
        <w:rPr/>
        <w:t xml:space="preserve"> </w:t>
      </w:r>
      <w: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ivel2"/>
        <w:numPr>
          <w:ilvl w:val="1"/>
          <w:numId w:val="188"/>
        </w:numPr>
        <w:rPr/>
      </w:pPr>
      <w:r>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pPr>
        <w:pStyle w:val="Nivel2"/>
        <w:numPr>
          <w:ilvl w:val="1"/>
          <w:numId w:val="189"/>
        </w:numPr>
        <w:rPr/>
      </w:pPr>
      <w:r>
        <w:rPr/>
        <w:t xml:space="preserve">A Administração deverá realizar consulta ao SICAF para: </w:t>
      </w:r>
    </w:p>
    <w:p>
      <w:pPr>
        <w:pStyle w:val="Nivel2"/>
        <w:numPr>
          <w:ilvl w:val="1"/>
          <w:numId w:val="190"/>
        </w:numPr>
        <w:rPr/>
      </w:pPr>
      <w:r>
        <w:rPr>
          <w:b/>
          <w:bCs/>
        </w:rPr>
        <w:t xml:space="preserve">a) </w:t>
      </w:r>
      <w:r>
        <w:rPr/>
        <w:t xml:space="preserve">verificar a manutenção das condições de habilitação exigidas; </w:t>
      </w:r>
    </w:p>
    <w:p>
      <w:pPr>
        <w:pStyle w:val="Nivel2"/>
        <w:numPr>
          <w:ilvl w:val="1"/>
          <w:numId w:val="191"/>
        </w:numPr>
        <w:rPr/>
      </w:pPr>
      <w:r>
        <w:rPr>
          <w:b/>
          <w:bCs/>
        </w:rPr>
        <w:t xml:space="preserve">b) </w:t>
      </w:r>
      <w:r>
        <w:rPr/>
        <w:t>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pPr>
        <w:pStyle w:val="Nivel2"/>
        <w:numPr>
          <w:ilvl w:val="1"/>
          <w:numId w:val="192"/>
        </w:numPr>
        <w:rPr/>
      </w:pPr>
      <w: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93"/>
        </w:numPr>
        <w:rPr/>
      </w:pPr>
      <w: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94"/>
        </w:numPr>
        <w:rPr/>
      </w:pPr>
      <w:r>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95"/>
        </w:numPr>
        <w:rPr/>
      </w:pPr>
      <w:r>
        <w:rPr/>
        <w:t>Havendo a efetiva execução do objeto, os pagamentos serão realizados normalmente, até que se decida pela rescisão do contrato, caso o contratado não regularize sua situação junto ao SICAF.</w:t>
      </w:r>
      <w:r>
        <w:rPr>
          <w:lang w:eastAsia="en-US"/>
        </w:rPr>
        <w:t xml:space="preserve">  </w:t>
      </w:r>
    </w:p>
    <w:p>
      <w:pPr>
        <w:pStyle w:val="Nvel1SemNumPreto"/>
        <w:rPr/>
      </w:pPr>
      <w:r>
        <w:rPr/>
        <w:t>Prazo de pagamento</w:t>
      </w:r>
    </w:p>
    <w:p>
      <w:pPr>
        <w:pStyle w:val="Nivel2"/>
        <w:numPr>
          <w:ilvl w:val="1"/>
          <w:numId w:val="196"/>
        </w:numPr>
        <w:rPr/>
      </w:pPr>
      <w:r>
        <w:rPr/>
        <w:t>O pagamento será efetuado no prazo de até 10 (dez) dias úteis contados da finalização da liquidação da despesa, conforme seção anterior, nos termos da Instrução Normativa SEGES/ME nº 77, de 2022.</w:t>
      </w:r>
    </w:p>
    <w:p>
      <w:pPr>
        <w:pStyle w:val="Nivel2"/>
        <w:numPr>
          <w:ilvl w:val="1"/>
          <w:numId w:val="197"/>
        </w:numPr>
        <w:rPr/>
      </w:pPr>
      <w:commentRangeStart w:id="11"/>
      <w:r>
        <w:rPr/>
        <w:t>No caso de atraso pelo Contratante, os valores devidos ao contratado serão atualizados monetariamente entre o termo final do prazo de pagamento até a data de sua efetiva realização, mediante aplicação do IPCA de correção monetária.</w:t>
      </w:r>
      <w:commentRangeEnd w:id="11"/>
      <w:r>
        <w:commentReference w:id="11"/>
      </w:r>
      <w:r>
        <w:rPr/>
      </w:r>
    </w:p>
    <w:p>
      <w:pPr>
        <w:pStyle w:val="Nvel1SemNumPreto"/>
        <w:rPr/>
      </w:pPr>
      <w:r>
        <w:rPr/>
        <w:t>Forma de pagamento</w:t>
      </w:r>
    </w:p>
    <w:p>
      <w:pPr>
        <w:pStyle w:val="Nivel2"/>
        <w:numPr>
          <w:ilvl w:val="1"/>
          <w:numId w:val="198"/>
        </w:numPr>
        <w:rPr>
          <w:lang w:eastAsia="en-US"/>
        </w:rPr>
      </w:pPr>
      <w:r>
        <w:rPr>
          <w:lang w:eastAsia="en-US"/>
        </w:rPr>
        <w:t>O pagamento será realizado por meio de ordem bancária, para crédito em banco, agência e conta corrente indicados pelo contratado.</w:t>
      </w:r>
    </w:p>
    <w:p>
      <w:pPr>
        <w:pStyle w:val="Nivel2"/>
        <w:numPr>
          <w:ilvl w:val="1"/>
          <w:numId w:val="199"/>
        </w:numPr>
        <w:rPr>
          <w:lang w:eastAsia="en-US"/>
        </w:rPr>
      </w:pPr>
      <w:r>
        <w:rPr>
          <w:lang w:eastAsia="en-US"/>
        </w:rPr>
        <w:t>Será considerada data do pagamento o dia em que constar como emitida a ordem bancária para pagamento.</w:t>
      </w:r>
    </w:p>
    <w:p>
      <w:pPr>
        <w:pStyle w:val="Nivel2"/>
        <w:numPr>
          <w:ilvl w:val="1"/>
          <w:numId w:val="200"/>
        </w:numPr>
        <w:rPr>
          <w:lang w:eastAsia="en-US"/>
        </w:rPr>
      </w:pPr>
      <w:r>
        <w:rPr>
          <w:lang w:eastAsia="en-US"/>
        </w:rPr>
        <w:t>Quando do pagamento, será efetuada a retenção tributária prevista na legislação aplicável.</w:t>
      </w:r>
    </w:p>
    <w:p>
      <w:pPr>
        <w:pStyle w:val="Nivel3"/>
        <w:numPr>
          <w:ilvl w:val="2"/>
          <w:numId w:val="201"/>
        </w:numPr>
        <w:rPr/>
      </w:pPr>
      <w:commentRangeStart w:id="12"/>
      <w:r>
        <w:rPr>
          <w:lang w:eastAsia="en-US"/>
        </w:rPr>
        <w:t>Independentemente do percentual de tributo inserido na planilha, quando houver, serão retidos na fonte, quando da realização do pagamento, os percentuais estabelecidos na legislação vigente.</w:t>
      </w:r>
      <w:commentRangeEnd w:id="12"/>
      <w:r>
        <w:commentReference w:id="12"/>
      </w:r>
      <w:r>
        <w:rPr>
          <w:lang w:eastAsia="en-US"/>
        </w:rPr>
      </w:r>
    </w:p>
    <w:p>
      <w:pPr>
        <w:pStyle w:val="Nivel2"/>
        <w:numPr>
          <w:ilvl w:val="1"/>
          <w:numId w:val="202"/>
        </w:numPr>
        <w:rPr/>
      </w:pPr>
      <w:r>
        <w:rPr>
          <w:lang w:eastAsia="en-US"/>
        </w:rPr>
        <w:t xml:space="preserve">O contratado regularmente optante pelo Simples Nacional, nos termos da </w:t>
      </w:r>
      <w:hyperlink r:id="rId3">
        <w:r>
          <w:rPr>
            <w:rStyle w:val="LinkdaInternet"/>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rPr/>
      </w:pPr>
      <w:commentRangeStart w:id="13"/>
      <w:r>
        <w:rPr>
          <w:lang w:eastAsia="en-US"/>
        </w:rPr>
        <w:t>Antecipação de pagamento</w:t>
      </w:r>
      <w:commentRangeEnd w:id="13"/>
      <w:r>
        <w:commentReference w:id="13"/>
      </w:r>
      <w:r>
        <w:rPr>
          <w:lang w:eastAsia="en-US"/>
        </w:rPr>
      </w:r>
    </w:p>
    <w:p>
      <w:pPr>
        <w:pStyle w:val="Nivel2"/>
        <w:numPr>
          <w:ilvl w:val="1"/>
          <w:numId w:val="203"/>
        </w:numPr>
        <w:rPr/>
      </w:pPr>
      <w:r>
        <w:rPr>
          <w:lang w:eastAsia="en-US"/>
        </w:rPr>
        <w:t>A presente contratação não permite a antecipação de pagamento.</w:t>
      </w:r>
      <w:r>
        <w:rPr/>
        <w:tab/>
      </w:r>
    </w:p>
    <w:p>
      <w:pPr>
        <w:pStyle w:val="Nvel1SemNumPreto"/>
        <w:rPr/>
      </w:pPr>
      <w:commentRangeStart w:id="14"/>
      <w:r>
        <w:rPr/>
        <w:t>Cessão de crédito</w:t>
      </w:r>
      <w:commentRangeEnd w:id="14"/>
      <w:r>
        <w:commentReference w:id="14"/>
      </w:r>
      <w:r>
        <w:rPr/>
      </w:r>
    </w:p>
    <w:p>
      <w:pPr>
        <w:pStyle w:val="Nivel2"/>
        <w:numPr>
          <w:ilvl w:val="1"/>
          <w:numId w:val="204"/>
        </w:numPr>
        <w:rPr/>
      </w:pPr>
      <w:bookmarkStart w:id="1" w:name="_Ref154079397"/>
      <w:r>
        <w:rPr>
          <w:lang w:eastAsia="en-US"/>
        </w:rPr>
        <w:t xml:space="preserve">É admitida a cessão fiduciária de direitos creditícios com instituição financeira, nos termos e de acordo com os procedimentos previstos na </w:t>
      </w:r>
      <w:hyperlink r:id="rId4">
        <w:r>
          <w:rPr>
            <w:rStyle w:val="LinkdaInternet"/>
            <w:lang w:eastAsia="en-US"/>
          </w:rPr>
          <w:t>Instrução Normativa SEGES/ME nº 53, de 8 de Julho de 2020</w:t>
        </w:r>
      </w:hyperlink>
      <w:r>
        <w:rPr>
          <w:lang w:eastAsia="en-US"/>
        </w:rPr>
        <w:t>, conforme as regras deste presente tópico.</w:t>
      </w:r>
      <w:bookmarkEnd w:id="1"/>
    </w:p>
    <w:p>
      <w:pPr>
        <w:pStyle w:val="Nvel3R"/>
        <w:numPr>
          <w:ilvl w:val="2"/>
          <w:numId w:val="205"/>
        </w:numPr>
        <w:rPr/>
      </w:pPr>
      <w:bookmarkStart w:id="2" w:name="_Ref118216946"/>
      <w:commentRangeStart w:id="15"/>
      <w:r>
        <w:rPr/>
        <w:t xml:space="preserve">As cessões de crédito </w:t>
      </w:r>
      <w:r>
        <w:rPr>
          <w:rStyle w:val="Normaltextrun"/>
        </w:rPr>
        <w:t xml:space="preserve">não abrangidas pela Instrução Normativa SEGES/ME nº 53, de 8 de julho de 2020, </w:t>
      </w:r>
      <w:r>
        <w:rPr/>
        <w:t>dependerão de prévia aprovação do contratante.</w:t>
      </w:r>
      <w:bookmarkEnd w:id="2"/>
      <w:commentRangeEnd w:id="15"/>
      <w:r>
        <w:commentReference w:id="15"/>
      </w:r>
      <w:r>
        <w:rPr/>
      </w:r>
    </w:p>
    <w:p>
      <w:pPr>
        <w:pStyle w:val="Nivel2"/>
        <w:numPr>
          <w:ilvl w:val="1"/>
          <w:numId w:val="206"/>
        </w:numPr>
        <w:rPr/>
      </w:pPr>
      <w:commentRangeStart w:id="16"/>
      <w:r>
        <w:rPr/>
        <w:t>A eficácia da cessão de crédito</w:t>
      </w:r>
      <w:r>
        <w:rPr/>
      </w:r>
      <w:commentRangeEnd w:id="16"/>
      <w:r>
        <w:commentReference w:id="16"/>
      </w:r>
      <w:r>
        <w:rPr/>
        <w:t xml:space="preserve"> não abrangida pela Instrução Normativa SEGES/ME nº 53, de 8 de julho de 2020, em relação à Administração, está condicionada à celebração de termo aditivo ao contrato administrativo.</w:t>
      </w:r>
    </w:p>
    <w:p>
      <w:pPr>
        <w:pStyle w:val="Nivel2"/>
        <w:numPr>
          <w:ilvl w:val="1"/>
          <w:numId w:val="207"/>
        </w:numPr>
        <w:rPr/>
      </w:pPr>
      <w:r>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pPr>
        <w:pStyle w:val="Nivel2"/>
        <w:numPr>
          <w:ilvl w:val="1"/>
          <w:numId w:val="208"/>
        </w:numPr>
        <w:rPr/>
      </w:pPr>
      <w:r>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w:t>
      </w:r>
      <w:commentRangeStart w:id="17"/>
      <w:r>
        <w:rPr/>
        <w:t>(INSTRUÇÃO NORMATIVA Nº 53, DE 8 DE JULHO DE 2020 e Anexos)</w:t>
      </w:r>
      <w:commentRangeEnd w:id="17"/>
      <w:r>
        <w:commentReference w:id="17"/>
      </w:r>
      <w:r>
        <w:rPr/>
      </w:r>
    </w:p>
    <w:p>
      <w:pPr>
        <w:pStyle w:val="Nivel2"/>
        <w:numPr>
          <w:ilvl w:val="1"/>
          <w:numId w:val="209"/>
        </w:numPr>
        <w:rPr/>
      </w:pPr>
      <w:commentRangeStart w:id="18"/>
      <w:r>
        <w:rPr/>
        <w:t>A cessão de crédito não afetará a execução do objeto contratado, que continuará sob a integral responsabilidade do contratado.</w:t>
      </w:r>
      <w:commentRangeEnd w:id="18"/>
      <w:r>
        <w:commentReference w:id="18"/>
      </w:r>
      <w:r>
        <w:rPr/>
      </w:r>
    </w:p>
    <w:p>
      <w:pPr>
        <w:pStyle w:val="Nivel2"/>
        <w:numPr>
          <w:ilvl w:val="1"/>
          <w:numId w:val="210"/>
        </w:numPr>
        <w:rPr>
          <w:lang w:eastAsia="en-US"/>
        </w:rPr>
      </w:pPr>
      <w:r>
        <w:rPr>
          <w:lang w:eastAsia="en-US"/>
        </w:rPr>
      </w:r>
    </w:p>
    <w:p>
      <w:pPr>
        <w:pStyle w:val="Nivel01"/>
        <w:numPr>
          <w:ilvl w:val="0"/>
          <w:numId w:val="1"/>
        </w:numPr>
        <w:rPr/>
      </w:pPr>
      <w:r>
        <w:rPr>
          <w:rFonts w:ascii="Carlito" w:hAnsi="Carlito"/>
          <w:sz w:val="24"/>
          <w:szCs w:val="24"/>
        </w:rPr>
        <w:t>FORMA E CRITÉRIOS DE SELEÇÃO DO FORNECEDOR E FORMA DE FORNECIMENTO</w:t>
      </w:r>
    </w:p>
    <w:p>
      <w:pPr>
        <w:pStyle w:val="Nivel2"/>
        <w:numPr>
          <w:ilvl w:val="1"/>
          <w:numId w:val="211"/>
        </w:numPr>
        <w:rPr/>
      </w:pPr>
      <w:r>
        <w:rPr/>
        <w:t>O fornecedor será selecionado por meio da realização de procedimento de dispensa de licitação, na forma eletrônica, com fundamento na hipótese do art. 75, inciso II da Lei n.º 14.133/2021, que culminará com a seleção da proposta de menor preço por item.</w:t>
      </w:r>
    </w:p>
    <w:p>
      <w:pPr>
        <w:pStyle w:val="Nvel1SemNumPreto"/>
        <w:rPr/>
      </w:pPr>
      <w:r>
        <w:rPr/>
        <w:t>Forma de fornecimento</w:t>
      </w:r>
    </w:p>
    <w:p>
      <w:pPr>
        <w:pStyle w:val="Nivel2"/>
        <w:numPr>
          <w:ilvl w:val="1"/>
          <w:numId w:val="212"/>
        </w:numPr>
        <w:rPr/>
      </w:pPr>
      <w:r>
        <w:rPr>
          <w:rStyle w:val="Normaltextrun"/>
        </w:rPr>
        <w:t xml:space="preserve">O </w:t>
      </w:r>
      <w:r>
        <w:rPr>
          <w:rStyle w:val="Findhit"/>
        </w:rPr>
        <w:t xml:space="preserve">fornecimento do objeto será </w:t>
      </w:r>
      <w:r>
        <w:rPr/>
        <w:t>integral.</w:t>
      </w:r>
    </w:p>
    <w:p>
      <w:pPr>
        <w:pStyle w:val="Nvel1SemNumPreto"/>
        <w:rPr/>
      </w:pPr>
      <w:commentRangeStart w:id="19"/>
      <w:r>
        <w:rPr/>
        <w:t>Exigências de habilitação</w:t>
      </w:r>
      <w:commentRangeEnd w:id="19"/>
      <w:r>
        <w:commentReference w:id="19"/>
      </w:r>
      <w:r>
        <w:rPr/>
      </w:r>
    </w:p>
    <w:p>
      <w:pPr>
        <w:pStyle w:val="Nivel2"/>
        <w:numPr>
          <w:ilvl w:val="1"/>
          <w:numId w:val="213"/>
        </w:numPr>
        <w:rPr/>
      </w:pPr>
      <w:commentRangeStart w:id="20"/>
      <w:r>
        <w:rPr/>
        <w:t>Previamente à celebração do contrato, a Administração verificará o eventual descumprimento das condições para contratação, especialmente quanto à existência de sanção que a impeça, mediante a consulta a cadastros informativos oficiais, tais como:</w:t>
      </w:r>
      <w:r>
        <w:rPr/>
      </w:r>
      <w:commentRangeEnd w:id="20"/>
      <w:r>
        <w:commentReference w:id="20"/>
      </w:r>
      <w:r>
        <w:rPr/>
        <w:t xml:space="preserve">  </w:t>
      </w:r>
    </w:p>
    <w:p>
      <w:pPr>
        <w:pStyle w:val="Normal"/>
        <w:spacing w:lineRule="auto" w:line="276" w:before="120" w:after="120"/>
        <w:ind w:left="1417" w:hanging="0"/>
        <w:jc w:val="both"/>
        <w:rPr>
          <w:rFonts w:ascii="Carlito" w:hAnsi="Carlito"/>
        </w:rPr>
      </w:pPr>
      <w:r>
        <w:rPr>
          <w:rFonts w:eastAsia="Arial" w:cs="Arial" w:ascii="Carlito" w:hAnsi="Carlito"/>
          <w:b/>
          <w:bCs/>
          <w:i/>
          <w:iCs/>
        </w:rPr>
        <w:t>a)</w:t>
      </w:r>
      <w:r>
        <w:rPr>
          <w:rFonts w:eastAsia="Arial" w:cs="Arial" w:ascii="Carlito" w:hAnsi="Carlito"/>
          <w:i/>
          <w:iCs/>
        </w:rPr>
        <w:t xml:space="preserve"> SICAF;  </w:t>
      </w:r>
    </w:p>
    <w:p>
      <w:pPr>
        <w:pStyle w:val="Normal"/>
        <w:spacing w:lineRule="auto" w:line="276" w:before="120" w:after="120"/>
        <w:ind w:left="1417" w:hanging="0"/>
        <w:jc w:val="both"/>
        <w:rPr/>
      </w:pPr>
      <w:r>
        <w:rPr>
          <w:rFonts w:eastAsia="Arial" w:cs="Arial" w:ascii="Carlito" w:hAnsi="Carlito"/>
          <w:b/>
          <w:bCs/>
          <w:i/>
          <w:iCs/>
        </w:rPr>
        <w:t>b)</w:t>
      </w:r>
      <w:r>
        <w:rPr>
          <w:rFonts w:eastAsia="Arial" w:cs="Arial" w:ascii="Carlito" w:hAnsi="Carlito"/>
          <w:i/>
          <w:iCs/>
        </w:rPr>
        <w:t xml:space="preserve"> Cadastro Nacional de Empresas Inidôneas e Suspensas - CEIS, mantido pela Controladoria-Geral da União (</w:t>
      </w:r>
      <w:hyperlink r:id="rId5">
        <w:r>
          <w:rPr>
            <w:rStyle w:val="LinkdaInternet"/>
            <w:rFonts w:eastAsia="Arial" w:cs="Arial" w:ascii="Carlito" w:hAnsi="Carlito"/>
            <w:i/>
            <w:iCs/>
            <w:color w:val="auto"/>
          </w:rPr>
          <w:t>www.portaldatransparencia.gov.br/ceis</w:t>
        </w:r>
      </w:hyperlink>
      <w:r>
        <w:rPr>
          <w:rFonts w:eastAsia="Arial" w:cs="Arial" w:ascii="Carlito" w:hAnsi="Carlito"/>
          <w:i/>
          <w:iCs/>
        </w:rPr>
        <w:t xml:space="preserve">);  </w:t>
      </w:r>
    </w:p>
    <w:p>
      <w:pPr>
        <w:pStyle w:val="Normal"/>
        <w:spacing w:lineRule="auto" w:line="276" w:before="120" w:after="120"/>
        <w:ind w:left="1417" w:hanging="0"/>
        <w:jc w:val="both"/>
        <w:rPr/>
      </w:pPr>
      <w:r>
        <w:rPr>
          <w:rFonts w:eastAsia="Arial" w:cs="Arial" w:ascii="Carlito" w:hAnsi="Carlito"/>
          <w:b/>
          <w:bCs/>
          <w:i/>
          <w:iCs/>
        </w:rPr>
        <w:t>c)</w:t>
      </w:r>
      <w:r>
        <w:rPr>
          <w:rFonts w:eastAsia="Arial" w:cs="Arial" w:ascii="Carlito" w:hAnsi="Carlito"/>
          <w:i/>
          <w:iCs/>
        </w:rPr>
        <w:t xml:space="preserve"> Cadastro Nacional de Empresas Punidas – CNEP, mantido pela Controladoria-Geral da União (</w:t>
      </w:r>
      <w:hyperlink r:id="rId6">
        <w:r>
          <w:rPr>
            <w:rStyle w:val="LinkdaInternet"/>
            <w:rFonts w:eastAsia="Arial" w:cs="Arial" w:ascii="Carlito" w:hAnsi="Carlito"/>
            <w:i/>
            <w:iCs/>
            <w:color w:val="auto"/>
          </w:rPr>
          <w:t>https://www.portaltransparencia.gov.br/sancoes/cnep</w:t>
        </w:r>
      </w:hyperlink>
      <w:r>
        <w:rPr>
          <w:rFonts w:eastAsia="Arial" w:cs="Arial" w:ascii="Carlito" w:hAnsi="Carlito"/>
          <w:i/>
          <w:iCs/>
        </w:rPr>
        <w:t>)</w:t>
      </w:r>
    </w:p>
    <w:p>
      <w:pPr>
        <w:pStyle w:val="Nivel2"/>
        <w:numPr>
          <w:ilvl w:val="1"/>
          <w:numId w:val="214"/>
        </w:numPr>
        <w:rPr/>
      </w:pPr>
      <w:r>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215"/>
        </w:numPr>
        <w:rPr/>
      </w:pPr>
      <w:r>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216"/>
        </w:numPr>
        <w:rPr/>
      </w:pPr>
      <w:r>
        <w:rPr/>
        <w:t>A tentativa de burla será verificada por meio dos vínculos societários, linhas de fornecimento similares, dentre outros.</w:t>
      </w:r>
    </w:p>
    <w:p>
      <w:pPr>
        <w:pStyle w:val="Nivel2"/>
        <w:numPr>
          <w:ilvl w:val="1"/>
          <w:numId w:val="217"/>
        </w:numPr>
        <w:rPr/>
      </w:pPr>
      <w:r>
        <w:rPr/>
        <w:t>O interessado será convocado para manifestação previamente a uma eventual negativa de contratação.</w:t>
      </w:r>
    </w:p>
    <w:p>
      <w:pPr>
        <w:pStyle w:val="Nivel2"/>
        <w:numPr>
          <w:ilvl w:val="1"/>
          <w:numId w:val="218"/>
        </w:numPr>
        <w:rPr/>
      </w:pPr>
      <w:r>
        <w:rPr/>
        <w:t>Caso atendidas as condições para contratação, a habilitação do interessado será verificada por meio do SICAF, nos documentos por ele abrangidos.</w:t>
      </w:r>
    </w:p>
    <w:p>
      <w:pPr>
        <w:pStyle w:val="Nivel2"/>
        <w:numPr>
          <w:ilvl w:val="1"/>
          <w:numId w:val="219"/>
        </w:numPr>
        <w:rPr/>
      </w:pPr>
      <w:r>
        <w:rPr/>
        <w:t>É dever do interessado manter atualizada a respectiva documentação constante do SICAF, ou encaminhar, quando solicitado pela Administração, a respectiva documentação atualizada.</w:t>
      </w:r>
    </w:p>
    <w:p>
      <w:pPr>
        <w:pStyle w:val="Nivel2"/>
        <w:numPr>
          <w:ilvl w:val="1"/>
          <w:numId w:val="220"/>
        </w:numPr>
        <w:rPr/>
      </w:pPr>
      <w:r>
        <w:rPr/>
        <w:t>Não serão aceitos documentos de habilitação com indicação de CNPJ/CPF diferentes, salvo aqueles legalmente permitidos.</w:t>
      </w:r>
    </w:p>
    <w:p>
      <w:pPr>
        <w:pStyle w:val="Nivel2"/>
        <w:numPr>
          <w:ilvl w:val="1"/>
          <w:numId w:val="221"/>
        </w:numPr>
        <w:rPr/>
      </w:pPr>
      <w:r>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222"/>
        </w:numPr>
        <w:rPr/>
      </w:pPr>
      <w:r>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223"/>
        </w:numPr>
        <w:rPr/>
      </w:pPr>
      <w:r>
        <w:rPr/>
        <w:t>P</w:t>
      </w:r>
      <w:r>
        <w:rPr>
          <w:shd w:fill="auto" w:val="clear"/>
        </w:rPr>
        <w:t>ara fins de habilitação, deverá o interessado comprovar os seguintes requisitos, que serão exigidos conforme sua natureza jurídica:</w:t>
      </w:r>
    </w:p>
    <w:p>
      <w:pPr>
        <w:pStyle w:val="Nvel1SemNumPreto"/>
        <w:rPr/>
      </w:pPr>
      <w:commentRangeStart w:id="21"/>
      <w:r>
        <w:rPr/>
        <w:t>Habilitação jurídica</w:t>
      </w:r>
      <w:commentRangeEnd w:id="21"/>
      <w:r>
        <w:commentReference w:id="21"/>
      </w:r>
      <w:r>
        <w:rPr/>
      </w:r>
    </w:p>
    <w:p>
      <w:pPr>
        <w:pStyle w:val="Nivel2"/>
        <w:numPr>
          <w:ilvl w:val="1"/>
          <w:numId w:val="224"/>
        </w:numPr>
        <w:rPr/>
      </w:pPr>
      <w:bookmarkStart w:id="3" w:name="_Ref115800561"/>
      <w:commentRangeStart w:id="22"/>
      <w:r>
        <w:rPr>
          <w:b/>
          <w:bCs/>
        </w:rPr>
        <w:t xml:space="preserve">Pessoa física: </w:t>
      </w:r>
      <w:r>
        <w:rPr/>
        <w:t>cédula de identidade (RG) ou documento equivalente que, por força de lei, tenha validade para fins de identificação em todo o território nacional;</w:t>
      </w:r>
      <w:bookmarkEnd w:id="3"/>
      <w:commentRangeEnd w:id="22"/>
      <w:r>
        <w:commentReference w:id="22"/>
      </w:r>
      <w:r>
        <w:rPr/>
      </w:r>
    </w:p>
    <w:p>
      <w:pPr>
        <w:pStyle w:val="Nivel2"/>
        <w:numPr>
          <w:ilvl w:val="1"/>
          <w:numId w:val="225"/>
        </w:numPr>
        <w:rPr/>
      </w:pPr>
      <w:r>
        <w:rPr>
          <w:b/>
          <w:bCs/>
        </w:rPr>
        <w:t>Empresário individual:</w:t>
      </w:r>
      <w:r>
        <w:rPr/>
        <w:t xml:space="preserve"> inscrição no Registro Público de Empresas Mercantis, a cargo da Junta Comercial da respectiva sede; </w:t>
      </w:r>
    </w:p>
    <w:p>
      <w:pPr>
        <w:pStyle w:val="Nivel2"/>
        <w:numPr>
          <w:ilvl w:val="1"/>
          <w:numId w:val="226"/>
        </w:numPr>
        <w:rPr/>
      </w:pPr>
      <w:r>
        <w:rPr>
          <w:b/>
          <w:bCs/>
        </w:rPr>
        <w:t>Microempreendedor Individual - MEI:</w:t>
      </w:r>
      <w:r>
        <w:rPr/>
        <w:t xml:space="preserve"> Certificado da Condição de Microempreendedor Individual - CCMEI, cuja aceitação ficará condicionada à verificação da autenticidade no sítio https://www.gov.br/empresas-e-negocios/pt-br/empreendedor; </w:t>
      </w:r>
    </w:p>
    <w:p>
      <w:pPr>
        <w:pStyle w:val="Nivel2"/>
        <w:numPr>
          <w:ilvl w:val="1"/>
          <w:numId w:val="227"/>
        </w:numPr>
        <w:rPr/>
      </w:pPr>
      <w:commentRangeStart w:id="23"/>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23"/>
      <w:r>
        <w:commentReference w:id="23"/>
      </w:r>
      <w:r>
        <w:rPr/>
      </w:r>
    </w:p>
    <w:p>
      <w:pPr>
        <w:pStyle w:val="Nivel2"/>
        <w:numPr>
          <w:ilvl w:val="1"/>
          <w:numId w:val="228"/>
        </w:numPr>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pPr>
        <w:pStyle w:val="Nivel2"/>
        <w:numPr>
          <w:ilvl w:val="1"/>
          <w:numId w:val="229"/>
        </w:numPr>
        <w:rPr/>
      </w:pPr>
      <w:r>
        <w:rPr>
          <w:b/>
          <w:bCs/>
        </w:rPr>
        <w:t>Sociedade simples:</w:t>
      </w:r>
      <w:r>
        <w:rPr/>
        <w:t xml:space="preserve"> inscrição do ato constitutivo no Registro Civil de Pessoas Jurídicas do local de sua sede, acompanhada de documento comprobatório de seus administradores;</w:t>
      </w:r>
    </w:p>
    <w:p>
      <w:pPr>
        <w:pStyle w:val="Nivel2"/>
        <w:numPr>
          <w:ilvl w:val="1"/>
          <w:numId w:val="230"/>
        </w:numPr>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4" w:name="_Int_ySfCXwr4"/>
      <w:r>
        <w:rPr/>
        <w:t>Mercantis onde</w:t>
      </w:r>
      <w:bookmarkEnd w:id="4"/>
      <w:r>
        <w:rPr/>
        <w:t xml:space="preserve"> opera, com averbação no Registro onde tem sede a matriz</w:t>
      </w:r>
    </w:p>
    <w:p>
      <w:pPr>
        <w:pStyle w:val="Nivel2"/>
        <w:numPr>
          <w:ilvl w:val="1"/>
          <w:numId w:val="231"/>
        </w:numPr>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ivel2"/>
        <w:numPr>
          <w:ilvl w:val="1"/>
          <w:numId w:val="232"/>
        </w:numPr>
        <w:rPr/>
      </w:pPr>
      <w:r>
        <w:rPr>
          <w:b/>
          <w:bCs/>
        </w:rPr>
        <w:t>Agricultor familiar:</w:t>
      </w:r>
      <w:r>
        <w:rPr/>
        <w:t xml:space="preserve"> Declaração de Aptidão ao Pronaf – DAP ou DAP-P válida, ou, ainda, outros documentos definidos pela Secretaria Especial de Agricultura Familiar e do Desenvolvimento Agrário, nos termos do art. 4º, §2º do Decreto nº 10.880, de 2 de dezembro de 2021.</w:t>
      </w:r>
    </w:p>
    <w:p>
      <w:pPr>
        <w:pStyle w:val="Nivel2"/>
        <w:numPr>
          <w:ilvl w:val="1"/>
          <w:numId w:val="233"/>
        </w:numPr>
        <w:rPr/>
      </w:pPr>
      <w:r>
        <w:rPr>
          <w:b/>
          <w:bCs/>
        </w:rPr>
        <w:t>Produtor Rural:</w:t>
      </w:r>
      <w:r>
        <w:rPr/>
        <w:t xml:space="preserve"> matrícula no Cadastro Específico do INSS – CEI, que comprove a qualificação como produtor rural pessoa física, nos termos da Instrução Normativa RFB n. 971, de 13 de novembro de 2009 (arts. 17 a 19 e 165).</w:t>
      </w:r>
    </w:p>
    <w:p>
      <w:pPr>
        <w:pStyle w:val="Nivel2"/>
        <w:numPr>
          <w:ilvl w:val="1"/>
          <w:numId w:val="234"/>
        </w:numPr>
        <w:rPr/>
      </w:pPr>
      <w:r>
        <w:rPr/>
        <w:t>Os documentos apresentados deverão estar acompanhados de todas as alterações ou da consolidação respectiva.</w:t>
      </w:r>
    </w:p>
    <w:p>
      <w:pPr>
        <w:pStyle w:val="Nvel1SemNumPreto"/>
        <w:rPr/>
      </w:pPr>
      <w:r>
        <w:rPr/>
        <w:t>Habilitação fiscal, social e trabalhista</w:t>
      </w:r>
    </w:p>
    <w:p>
      <w:pPr>
        <w:pStyle w:val="Nivel2"/>
        <w:numPr>
          <w:ilvl w:val="1"/>
          <w:numId w:val="235"/>
        </w:numPr>
        <w:rPr/>
      </w:pPr>
      <w:commentRangeStart w:id="24"/>
      <w:r>
        <w:rPr/>
        <w:t>Prova de inscrição no Cadastro Nacional de Pessoas Jurídicas ou no Cadastro de Pessoas Físicas, conforme o caso;</w:t>
      </w:r>
    </w:p>
    <w:p>
      <w:pPr>
        <w:pStyle w:val="Nivel2"/>
        <w:numPr>
          <w:ilvl w:val="1"/>
          <w:numId w:val="236"/>
        </w:numPr>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37"/>
        </w:numPr>
        <w:rPr/>
      </w:pPr>
      <w:r>
        <w:rPr/>
        <w:t>Prova de regularidade com o Fundo de Garantia do Tempo de Serviço (FGTS);</w:t>
      </w:r>
    </w:p>
    <w:p>
      <w:pPr>
        <w:pStyle w:val="Nivel2"/>
        <w:numPr>
          <w:ilvl w:val="1"/>
          <w:numId w:val="238"/>
        </w:numPr>
        <w:rPr/>
      </w:pPr>
      <w:r>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239"/>
        </w:numPr>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40"/>
        </w:numPr>
        <w:rPr/>
      </w:pPr>
      <w:r>
        <w:rPr/>
        <w:t xml:space="preserve">Prova de inscrição no cadastro de contribuintes [Estadual/Distrital] relativo ao domicílio ou sede do fornecedor, pertinente ao seu ramo de atividade e compatível com o objeto contratual; </w:t>
      </w:r>
    </w:p>
    <w:p>
      <w:pPr>
        <w:pStyle w:val="Nivel2"/>
        <w:numPr>
          <w:ilvl w:val="1"/>
          <w:numId w:val="241"/>
        </w:numPr>
        <w:rPr/>
      </w:pPr>
      <w:r>
        <w:rPr/>
        <w:t>Prova de regularidade com a Fazenda [Estadual/Distrital] do domicílio ou sede do fornecedor, relativa à atividade em cujo exercício contrata ou concorre;</w:t>
      </w:r>
      <w:commentRangeEnd w:id="24"/>
      <w:r>
        <w:commentReference w:id="24"/>
      </w:r>
      <w:r>
        <w:rPr/>
      </w:r>
    </w:p>
    <w:p>
      <w:pPr>
        <w:pStyle w:val="Nivel2"/>
        <w:numPr>
          <w:ilvl w:val="1"/>
          <w:numId w:val="242"/>
        </w:numPr>
        <w:rPr/>
      </w:pPr>
      <w:r>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pPr>
        <w:pStyle w:val="Nivel2"/>
        <w:numPr>
          <w:ilvl w:val="1"/>
          <w:numId w:val="243"/>
        </w:numPr>
        <w:rPr/>
      </w:pPr>
      <w:commentRangeStart w:id="25"/>
      <w:r>
        <w:rP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25"/>
      <w:r>
        <w:commentReference w:id="25"/>
      </w:r>
      <w:r>
        <w:rPr/>
      </w:r>
    </w:p>
    <w:p>
      <w:pPr>
        <w:pStyle w:val="Nvel1SemNumPreto"/>
        <w:rPr/>
      </w:pPr>
      <w:commentRangeStart w:id="26"/>
      <w:r>
        <w:rPr/>
        <w:t>Qualificação Econômico-Financeira</w:t>
      </w:r>
      <w:commentRangeEnd w:id="26"/>
      <w:r>
        <w:commentReference w:id="26"/>
      </w:r>
      <w:r>
        <w:rPr/>
      </w:r>
    </w:p>
    <w:p>
      <w:pPr>
        <w:pStyle w:val="Nivel2"/>
        <w:numPr>
          <w:ilvl w:val="1"/>
          <w:numId w:val="244"/>
        </w:numPr>
        <w:rPr/>
      </w:pPr>
      <w:r>
        <w:rPr/>
        <w:t xml:space="preserve">Certidão negativa de insolvência civil expedida pelo distribuidor do domicílio ou sede do interessado, caso se trate de pessoa física, desde que admitida a sua contratação (art. 5º, inciso II, alínea “c”, da Instrução Normativa Seges/ME nº 116, de 2021), ou de sociedade simples; </w:t>
      </w:r>
    </w:p>
    <w:p>
      <w:pPr>
        <w:pStyle w:val="Nivel2"/>
        <w:numPr>
          <w:ilvl w:val="1"/>
          <w:numId w:val="245"/>
        </w:numPr>
        <w:rPr/>
      </w:pPr>
      <w:r>
        <w:rPr/>
        <w:t>Certidão negativa de falência expedida pelo distribuidor da sede do fornecedor - Lei nº 14.133, de 2021, art. 69, caput, inciso II);</w:t>
      </w:r>
    </w:p>
    <w:p>
      <w:pPr>
        <w:pStyle w:val="Nivel2"/>
        <w:numPr>
          <w:ilvl w:val="1"/>
          <w:numId w:val="246"/>
        </w:numPr>
        <w:rPr/>
      </w:pPr>
      <w:r>
        <w:rPr/>
        <w:t>Balanço patrimonial, demonstração de resultado de exercício e demais demonstrações contábeis dos 2 (dois) últimos exercícios sociais, comprovando;</w:t>
      </w:r>
    </w:p>
    <w:p>
      <w:pPr>
        <w:pStyle w:val="Nivel3"/>
        <w:numPr>
          <w:ilvl w:val="2"/>
          <w:numId w:val="247"/>
        </w:numPr>
        <w:rPr>
          <w:color w:val="auto"/>
        </w:rPr>
      </w:pPr>
      <w:r>
        <w:rPr>
          <w:color w:val="auto"/>
        </w:rPr>
        <w:t>índices de Liquidez Geral (LG), Liquidez Corrente (LC), e Solvência Geral (SG) superiores a 1 (um);</w:t>
      </w:r>
    </w:p>
    <w:p>
      <w:pPr>
        <w:pStyle w:val="Nivel3"/>
        <w:numPr>
          <w:ilvl w:val="2"/>
          <w:numId w:val="248"/>
        </w:numPr>
        <w:rPr>
          <w:color w:val="auto"/>
        </w:rPr>
      </w:pPr>
      <w:r>
        <w:rPr>
          <w:color w:val="auto"/>
        </w:rPr>
        <w:t>As empresas criadas no exercício financeiro da contratação direta deverão atender a todas as exigências da habilitação e poderão substituir os demonstrativos contábeis pelo balanço de abertura.</w:t>
      </w:r>
    </w:p>
    <w:p>
      <w:pPr>
        <w:pStyle w:val="Nivel3"/>
        <w:numPr>
          <w:ilvl w:val="2"/>
          <w:numId w:val="249"/>
        </w:numPr>
        <w:rPr>
          <w:color w:val="auto"/>
        </w:rPr>
      </w:pPr>
      <w:r>
        <w:rPr>
          <w:color w:val="auto"/>
        </w:rPr>
        <w:t>Os documentos referidos acima limitar-se-ão ao último exercício no caso de a pessoa jurídica ter sido constituída há menos de 2 (dois) anos;</w:t>
      </w:r>
    </w:p>
    <w:p>
      <w:pPr>
        <w:pStyle w:val="Nivel3"/>
        <w:numPr>
          <w:ilvl w:val="2"/>
          <w:numId w:val="250"/>
        </w:numPr>
        <w:rPr>
          <w:color w:val="auto"/>
        </w:rPr>
      </w:pPr>
      <w:commentRangeStart w:id="27"/>
      <w:r>
        <w:rPr>
          <w:color w:val="auto"/>
        </w:rPr>
        <w:t xml:space="preserve">Os documentos referidos </w:t>
      </w:r>
      <w:r>
        <w:rPr>
          <w:color w:val="auto"/>
        </w:rPr>
      </w:r>
      <w:commentRangeEnd w:id="27"/>
      <w:r>
        <w:commentReference w:id="27"/>
      </w:r>
      <w:r>
        <w:rPr>
          <w:color w:val="auto"/>
        </w:rPr>
        <w:t>acima deverão ser exigidos com base no limite definido pela Receita Federal do Brasil para transmissão da Escrituração Contábil Digital - ECD ao Sped.</w:t>
      </w:r>
    </w:p>
    <w:p>
      <w:pPr>
        <w:pStyle w:val="Nivel3"/>
        <w:numPr>
          <w:ilvl w:val="0"/>
          <w:numId w:val="0"/>
        </w:numPr>
        <w:ind w:left="2268" w:hanging="0"/>
        <w:rPr>
          <w:color w:val="auto"/>
        </w:rPr>
      </w:pPr>
      <w:r>
        <w:rPr>
          <w:color w:val="auto"/>
        </w:rPr>
      </w:r>
    </w:p>
    <w:p>
      <w:pPr>
        <w:pStyle w:val="Nivel2"/>
        <w:numPr>
          <w:ilvl w:val="1"/>
          <w:numId w:val="251"/>
        </w:numPr>
        <w:rPr/>
      </w:pPr>
      <w:commentRangeStart w:id="28"/>
      <w:r>
        <w:rPr/>
        <w:t>Caso a empresa interessada apresente resultado inferior ou igual a 1 (um) em qualquer dos índices de Liquidez Geral (LG), Solvência Geral (SG) e Liquidez Corrente (LC), será exigido para fins de habilitação patrimônio líquido mínimo de 10% do valor total estimado da contratação.</w:t>
      </w:r>
      <w:commentRangeEnd w:id="28"/>
      <w:r>
        <w:commentReference w:id="28"/>
      </w:r>
      <w:r>
        <w:rPr/>
      </w:r>
    </w:p>
    <w:p>
      <w:pPr>
        <w:pStyle w:val="Nivel2"/>
        <w:numPr>
          <w:ilvl w:val="1"/>
          <w:numId w:val="252"/>
        </w:numPr>
        <w:rPr/>
      </w:pPr>
      <w:r>
        <w:rPr/>
        <w:t>As empresas criadas no exercício financeiro da contratação direta deverão atender a todas as exigências da habilitação e poderão substituir os demonstrativos contábeis pelo balanço de abertura. (Lei nº 14.133, de 2021, art. 65, §1º).</w:t>
      </w:r>
    </w:p>
    <w:p>
      <w:pPr>
        <w:pStyle w:val="Nivel2"/>
        <w:numPr>
          <w:ilvl w:val="0"/>
          <w:numId w:val="0"/>
        </w:numPr>
        <w:ind w:left="1417" w:hanging="0"/>
        <w:rPr/>
      </w:pPr>
      <w:r>
        <w:rPr/>
      </w:r>
    </w:p>
    <w:p>
      <w:pPr>
        <w:pStyle w:val="Nvel1SemNumPreto"/>
        <w:rPr/>
      </w:pPr>
      <w:commentRangeStart w:id="29"/>
      <w:r>
        <w:rPr/>
        <w:t>Qualificação Técnica</w:t>
      </w:r>
      <w:commentRangeEnd w:id="29"/>
      <w:r>
        <w:commentReference w:id="29"/>
      </w:r>
      <w:r>
        <w:rPr/>
      </w:r>
    </w:p>
    <w:p>
      <w:pPr>
        <w:pStyle w:val="Nivel2"/>
        <w:numPr>
          <w:ilvl w:val="1"/>
          <w:numId w:val="253"/>
        </w:numPr>
        <w:rPr/>
      </w:pPr>
      <w:r>
        <w:rPr>
          <w:shd w:fill="auto" w:val="clear"/>
        </w:rPr>
        <w:t xml:space="preserve">Declaração de que o interessado tomou conhecimento de todas as informações e das condições locais para o cumprimento das obrigações objeto da contratação; </w:t>
      </w:r>
    </w:p>
    <w:p>
      <w:pPr>
        <w:pStyle w:val="Nivel2"/>
        <w:numPr>
          <w:ilvl w:val="1"/>
          <w:numId w:val="254"/>
        </w:numPr>
        <w:rPr/>
      </w:pPr>
      <w:r>
        <w:rPr>
          <w:shd w:fill="auto" w:val="clear"/>
        </w:rPr>
        <w:t>A declaração acima poderá ser substituída por declaração formal assinada pelo responsável técnico do interessado acerca do conhecimento pleno das condições e peculiaridades da contratação.</w:t>
      </w:r>
    </w:p>
    <w:p>
      <w:pPr>
        <w:pStyle w:val="Nivel2"/>
        <w:numPr>
          <w:ilvl w:val="0"/>
          <w:numId w:val="0"/>
        </w:numPr>
        <w:ind w:left="1417" w:hanging="0"/>
        <w:rPr>
          <w:shd w:fill="auto" w:val="clear"/>
        </w:rPr>
      </w:pPr>
      <w:r>
        <w:rPr>
          <w:shd w:fill="auto" w:val="clear"/>
        </w:rPr>
      </w:r>
    </w:p>
    <w:p>
      <w:pPr>
        <w:pStyle w:val="Nivel01"/>
        <w:numPr>
          <w:ilvl w:val="0"/>
          <w:numId w:val="1"/>
        </w:numPr>
        <w:rPr/>
      </w:pPr>
      <w:commentRangeStart w:id="30"/>
      <w:r>
        <w:rPr>
          <w:rFonts w:eastAsia="MS Gothic" w:ascii="Carlito" w:hAnsi="Carlito"/>
          <w:color w:val="000000"/>
          <w:sz w:val="24"/>
          <w:szCs w:val="24"/>
        </w:rPr>
        <w:t>ESTIMATIVAS</w:t>
      </w:r>
      <w:r>
        <w:rPr>
          <w:rFonts w:ascii="Carlito" w:hAnsi="Carlito"/>
          <w:sz w:val="24"/>
          <w:szCs w:val="24"/>
        </w:rPr>
        <w:t xml:space="preserve"> DO VALOR DA CONTRATAÇÃO</w:t>
      </w:r>
      <w:commentRangeEnd w:id="30"/>
      <w:r>
        <w:commentReference w:id="30"/>
      </w:r>
      <w:r>
        <w:rPr>
          <w:rFonts w:ascii="Carlito" w:hAnsi="Carlito"/>
          <w:sz w:val="24"/>
          <w:szCs w:val="24"/>
        </w:rPr>
      </w:r>
    </w:p>
    <w:p>
      <w:pPr>
        <w:pStyle w:val="Nivel2"/>
        <w:numPr>
          <w:ilvl w:val="1"/>
          <w:numId w:val="255"/>
        </w:numPr>
        <w:rPr/>
      </w:pPr>
      <w:r>
        <w:rPr>
          <w:shd w:fill="auto" w:val="clear"/>
        </w:rPr>
        <w:t xml:space="preserve">O custo estimado total da contratação é de </w:t>
      </w:r>
      <w:r>
        <w:rPr>
          <w:rFonts w:eastAsia="WenQuanYi Micro Hei" w:cs="Calibri Light"/>
          <w:b/>
          <w:i w:val="false"/>
          <w:strike w:val="false"/>
          <w:dstrike w:val="false"/>
          <w:outline w:val="false"/>
          <w:shadow w:val="false"/>
          <w:color w:val="000000"/>
          <w:sz w:val="24"/>
          <w:u w:val="none"/>
          <w:shd w:fill="auto" w:val="clear"/>
          <w:em w:val="none"/>
        </w:rPr>
        <w:t>R$ 805,00</w:t>
      </w:r>
      <w:r>
        <w:rPr>
          <w:color w:val="000000"/>
          <w:shd w:fill="auto" w:val="clear"/>
        </w:rPr>
        <w:t xml:space="preserve"> (</w:t>
      </w:r>
      <w:r>
        <w:rPr>
          <w:rFonts w:eastAsia="Arial" w:cs="Arial"/>
          <w:color w:val="000000"/>
          <w:kern w:val="0"/>
          <w:sz w:val="24"/>
          <w:szCs w:val="24"/>
          <w:shd w:fill="auto" w:val="clear"/>
          <w:lang w:val="pt-BR" w:eastAsia="pt-BR" w:bidi="ar-SA"/>
        </w:rPr>
        <w:t>oitocentos</w:t>
      </w:r>
      <w:r>
        <w:rPr>
          <w:color w:val="000000"/>
          <w:shd w:fill="auto" w:val="clear"/>
        </w:rPr>
        <w:t xml:space="preserve"> e cinco reais),</w:t>
      </w:r>
      <w:r>
        <w:rPr>
          <w:shd w:fill="auto" w:val="clear"/>
        </w:rPr>
        <w:t xml:space="preserve"> conforme custos unitários apostos na tabela acima.</w:t>
      </w:r>
    </w:p>
    <w:p>
      <w:pPr>
        <w:pStyle w:val="Nivel01"/>
        <w:numPr>
          <w:ilvl w:val="0"/>
          <w:numId w:val="1"/>
        </w:numPr>
        <w:ind w:left="0" w:hanging="0"/>
        <w:rPr>
          <w:rFonts w:ascii="Carlito" w:hAnsi="Carlito"/>
          <w:sz w:val="24"/>
          <w:szCs w:val="24"/>
        </w:rPr>
      </w:pPr>
      <w:r>
        <w:rPr>
          <w:rFonts w:ascii="Carlito" w:hAnsi="Carlito"/>
          <w:sz w:val="24"/>
          <w:szCs w:val="24"/>
        </w:rPr>
        <w:t>ADEQUAÇÃO ORÇAMENTÁRIA</w:t>
      </w:r>
    </w:p>
    <w:p>
      <w:pPr>
        <w:pStyle w:val="Nivel2"/>
        <w:numPr>
          <w:ilvl w:val="1"/>
          <w:numId w:val="256"/>
        </w:numPr>
        <w:rPr/>
      </w:pPr>
      <w:r>
        <w:rPr/>
        <w:t>As despesas decorrentes da presente contratação correrão à conta de recursos específicos consignados no Orçamento Geral da União.</w:t>
      </w:r>
    </w:p>
    <w:p>
      <w:pPr>
        <w:pStyle w:val="Nivel2"/>
        <w:numPr>
          <w:ilvl w:val="0"/>
          <w:numId w:val="0"/>
        </w:numPr>
        <w:ind w:left="1417" w:hanging="0"/>
        <w:rPr/>
      </w:pPr>
      <w:r>
        <w:rPr/>
      </w:r>
    </w:p>
    <w:p>
      <w:pPr>
        <w:pStyle w:val="Nivel2"/>
        <w:numPr>
          <w:ilvl w:val="1"/>
          <w:numId w:val="257"/>
        </w:numPr>
        <w:rPr/>
      </w:pPr>
      <w:r>
        <w:rPr/>
        <w:t>A contratação será atendida pela seguinte dotação:</w:t>
      </w:r>
    </w:p>
    <w:p>
      <w:pPr>
        <w:pStyle w:val="ListParagraph"/>
        <w:numPr>
          <w:ilvl w:val="0"/>
          <w:numId w:val="2"/>
        </w:numPr>
        <w:spacing w:lineRule="auto" w:line="276" w:before="120" w:after="120"/>
        <w:ind w:left="1701" w:hanging="283"/>
        <w:contextualSpacing/>
        <w:jc w:val="both"/>
        <w:rPr>
          <w:color w:val="000000"/>
        </w:rPr>
      </w:pPr>
      <w:r>
        <w:rPr>
          <w:rFonts w:eastAsia="Arial" w:cs="Arial" w:ascii="Carlito" w:hAnsi="Carlito"/>
          <w:color w:val="000000"/>
        </w:rPr>
        <w:t>Gestão/Unidade: 795140;</w:t>
      </w:r>
    </w:p>
    <w:p>
      <w:pPr>
        <w:pStyle w:val="ListParagraph"/>
        <w:numPr>
          <w:ilvl w:val="0"/>
          <w:numId w:val="2"/>
        </w:numPr>
        <w:spacing w:lineRule="auto" w:line="276" w:before="120" w:after="120"/>
        <w:ind w:left="1701" w:hanging="283"/>
        <w:contextualSpacing/>
        <w:jc w:val="both"/>
        <w:rPr>
          <w:color w:val="000000"/>
        </w:rPr>
      </w:pPr>
      <w:r>
        <w:rPr>
          <w:rFonts w:eastAsia="Arial" w:cs="Arial" w:ascii="Carlito" w:hAnsi="Carlito"/>
          <w:color w:val="000000"/>
        </w:rPr>
        <w:t>Fonte de Recursos: 01000000000</w:t>
      </w:r>
    </w:p>
    <w:p>
      <w:pPr>
        <w:pStyle w:val="ListParagraph"/>
        <w:numPr>
          <w:ilvl w:val="0"/>
          <w:numId w:val="2"/>
        </w:numPr>
        <w:spacing w:lineRule="auto" w:line="276" w:before="120" w:after="120"/>
        <w:ind w:left="1701" w:hanging="283"/>
        <w:contextualSpacing/>
        <w:jc w:val="both"/>
        <w:rPr>
          <w:color w:val="000000"/>
        </w:rPr>
      </w:pPr>
      <w:r>
        <w:rPr>
          <w:rFonts w:eastAsia="Arial" w:cs="Arial" w:ascii="Carlito" w:hAnsi="Carlito"/>
          <w:color w:val="000000"/>
        </w:rPr>
        <w:t>Programa de Trabalho: 236885;</w:t>
      </w:r>
    </w:p>
    <w:p>
      <w:pPr>
        <w:pStyle w:val="ListParagraph"/>
        <w:numPr>
          <w:ilvl w:val="0"/>
          <w:numId w:val="2"/>
        </w:numPr>
        <w:spacing w:lineRule="auto" w:line="276" w:before="120" w:after="120"/>
        <w:ind w:left="1701" w:hanging="283"/>
        <w:contextualSpacing/>
        <w:jc w:val="both"/>
        <w:rPr>
          <w:color w:val="000000"/>
        </w:rPr>
      </w:pPr>
      <w:r>
        <w:rPr>
          <w:rFonts w:eastAsia="Arial" w:cs="Arial" w:ascii="Carlito" w:hAnsi="Carlito"/>
          <w:color w:val="000000"/>
        </w:rPr>
        <w:t xml:space="preserve">Elemento de Despesa: 339030; e </w:t>
      </w:r>
    </w:p>
    <w:p>
      <w:pPr>
        <w:pStyle w:val="ListParagraph"/>
        <w:numPr>
          <w:ilvl w:val="0"/>
          <w:numId w:val="2"/>
        </w:numPr>
        <w:spacing w:lineRule="auto" w:line="276" w:before="120" w:after="120"/>
        <w:ind w:left="1701" w:hanging="283"/>
        <w:contextualSpacing/>
        <w:jc w:val="both"/>
        <w:rPr>
          <w:color w:val="000000"/>
        </w:rPr>
      </w:pPr>
      <w:r>
        <w:rPr>
          <w:rFonts w:eastAsia="Arial" w:cs="Arial" w:ascii="Carlito" w:hAnsi="Carlito"/>
          <w:color w:val="000000"/>
        </w:rPr>
        <w:t>Plano Interno: Z4C3SLN.01.L0.</w:t>
      </w:r>
      <w:bookmarkEnd w:id="0"/>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r>
    </w:p>
    <w:p>
      <w:pPr>
        <w:pStyle w:val="Normal"/>
        <w:overflowPunct w:val="false"/>
        <w:jc w:val="right"/>
        <w:rPr>
          <w:rFonts w:ascii="Carlito" w:hAnsi="Carlito" w:eastAsia="Calibri" w:cs="Carlito;Calibri"/>
          <w:color w:val="000000"/>
          <w:shd w:fill="FFFFFF" w:val="clear"/>
        </w:rPr>
      </w:pPr>
      <w:r>
        <w:rPr>
          <w:rFonts w:eastAsia="Calibri" w:cs="Carlito;Calibri" w:ascii="Carlito" w:hAnsi="Carlito"/>
          <w:color w:val="000000"/>
          <w:shd w:fill="FFFFFF" w:val="clear"/>
        </w:rPr>
        <w:t>Rio de Janeiro, RJ, 24 de  julho de 2024.</w:t>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overflowPunct w:val="false"/>
        <w:jc w:val="center"/>
        <w:rPr>
          <w:rFonts w:eastAsia="Calibri" w:cs="Carlito;Calibri"/>
          <w:shd w:fill="FFFFFF" w:val="clear"/>
        </w:rPr>
      </w:pPr>
      <w:r>
        <w:rPr>
          <w:rFonts w:eastAsia="Calibri" w:cs="Carlito;Calibri"/>
          <w:shd w:fill="FFFFFF" w:val="clear"/>
        </w:rPr>
      </w:r>
    </w:p>
    <w:p>
      <w:pPr>
        <w:pStyle w:val="Normal"/>
        <w:tabs>
          <w:tab w:val="clear" w:pos="708"/>
        </w:tabs>
        <w:ind w:right="0" w:hanging="0"/>
        <w:jc w:val="center"/>
        <w:rPr/>
      </w:pPr>
      <w:r>
        <w:rPr>
          <w:rStyle w:val="Fontepargpadro"/>
          <w:rFonts w:eastAsia="Calibri" w:cs="Carlito;Calibri" w:ascii="Carlito" w:hAnsi="Carlito"/>
          <w:color w:val="000000"/>
          <w:shd w:fill="FFFFFF" w:val="clear"/>
          <w:lang w:bidi="ar-SA"/>
        </w:rPr>
        <w:t>VALMIR PEREIRA SANTOS</w:t>
      </w:r>
    </w:p>
    <w:p>
      <w:pPr>
        <w:pStyle w:val="Normal"/>
        <w:jc w:val="center"/>
        <w:rPr/>
      </w:pPr>
      <w:r>
        <w:rPr>
          <w:rStyle w:val="Fontepargpadro"/>
          <w:rFonts w:eastAsia="Calibri" w:cs="Calibri" w:ascii="Carlito" w:hAnsi="Carlito"/>
          <w:color w:val="000000"/>
          <w:kern w:val="0"/>
          <w:lang w:eastAsia="zh-CN" w:bidi="ar-SA"/>
        </w:rPr>
        <w:t>Primeiro-sargento (FN-IF)</w:t>
      </w:r>
    </w:p>
    <w:p>
      <w:pPr>
        <w:pStyle w:val="Normal"/>
        <w:overflowPunct w:val="false"/>
        <w:jc w:val="center"/>
        <w:rPr>
          <w:color w:val="C9211E"/>
        </w:rPr>
      </w:pPr>
      <w:r>
        <w:rPr>
          <w:rStyle w:val="Fontepargpadro"/>
          <w:rFonts w:eastAsia="Calibri" w:cs="Calibri" w:ascii="Carlito" w:hAnsi="Carlito"/>
          <w:color w:val="000000"/>
          <w:spacing w:val="-2"/>
          <w:shd w:fill="FFFFFF" w:val="clear"/>
          <w:lang w:eastAsia="zh-CN" w:bidi="ar-SA"/>
        </w:rPr>
        <w:t>Equipe de Planejamento</w:t>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jc w:val="center"/>
        <w:rPr/>
      </w:pPr>
      <w:r>
        <w:rPr>
          <w:rStyle w:val="Fontepargpadro"/>
          <w:rFonts w:eastAsia="Times New Roman" w:cs="Times New Roman" w:ascii="Carlito" w:hAnsi="Carlito"/>
          <w:color w:val="000000"/>
          <w:lang w:bidi="ar-SA"/>
        </w:rPr>
        <w:t>GABRIEL R. EVANGELISTA DO CARMO</w:t>
      </w:r>
    </w:p>
    <w:p>
      <w:pPr>
        <w:pStyle w:val="Normal"/>
        <w:jc w:val="center"/>
        <w:rPr/>
      </w:pPr>
      <w:r>
        <w:rPr>
          <w:rStyle w:val="Fontepargpadro"/>
          <w:rFonts w:eastAsia="Calibri" w:cs="Calibri" w:ascii="Carlito" w:hAnsi="Carlito"/>
          <w:color w:val="000000"/>
          <w:kern w:val="0"/>
          <w:lang w:eastAsia="zh-CN" w:bidi="ar-SA"/>
        </w:rPr>
        <w:t>Terceiro-sargento (FN-IF)</w:t>
      </w:r>
    </w:p>
    <w:p>
      <w:pPr>
        <w:pStyle w:val="Normal"/>
        <w:overflowPunct w:val="false"/>
        <w:jc w:val="center"/>
        <w:rPr>
          <w:color w:val="C9211E"/>
        </w:rPr>
      </w:pPr>
      <w:r>
        <w:rPr>
          <w:rStyle w:val="Fontepargpadro"/>
          <w:rFonts w:eastAsia="Calibri" w:cs="Calibri" w:ascii="Carlito" w:hAnsi="Carlito"/>
          <w:color w:val="000000"/>
          <w:kern w:val="2"/>
          <w:lang w:eastAsia="zh-CN" w:bidi="ar-SA"/>
        </w:rPr>
        <w:t>Equipe de Planejamento</w:t>
      </w:r>
    </w:p>
    <w:p>
      <w:pPr>
        <w:pStyle w:val="Ttulo1"/>
        <w:spacing w:before="138" w:after="0"/>
        <w:ind w:right="709" w:hanging="0"/>
        <w:rPr>
          <w:rFonts w:ascii="Carlito" w:hAnsi="Carlito"/>
          <w:color w:val="C9211E"/>
        </w:rPr>
      </w:pPr>
      <w:r>
        <w:rPr>
          <w:rFonts w:ascii="Carlito" w:hAnsi="Carlito"/>
          <w:color w:val="C9211E"/>
        </w:rPr>
      </w:r>
    </w:p>
    <w:p>
      <w:pPr>
        <w:pStyle w:val="Normal"/>
        <w:spacing w:before="138" w:after="0"/>
        <w:ind w:right="709" w:hanging="0"/>
        <w:rPr>
          <w:rFonts w:ascii="Carlito" w:hAnsi="Carlito"/>
          <w:color w:val="C9211E"/>
        </w:rPr>
      </w:pPr>
      <w:r>
        <w:rPr>
          <w:rFonts w:ascii="Carlito" w:hAnsi="Carlito"/>
          <w:color w:val="C9211E"/>
        </w:rPr>
      </w:r>
    </w:p>
    <w:p>
      <w:pPr>
        <w:pStyle w:val="Normal"/>
        <w:spacing w:before="138" w:after="0"/>
        <w:ind w:right="709" w:hanging="0"/>
        <w:rPr>
          <w:rFonts w:ascii="Carlito" w:hAnsi="Carlito"/>
          <w:color w:val="C9211E"/>
        </w:rPr>
      </w:pPr>
      <w:r>
        <w:rPr>
          <w:rFonts w:ascii="Carlito" w:hAnsi="Carlito"/>
          <w:color w:val="C9211E"/>
        </w:rPr>
      </w:r>
    </w:p>
    <w:p>
      <w:pPr>
        <w:pStyle w:val="Normal"/>
        <w:spacing w:before="138" w:after="0"/>
        <w:ind w:right="709" w:hanging="0"/>
        <w:rPr>
          <w:rFonts w:ascii="Carlito" w:hAnsi="Carlito"/>
          <w:color w:val="C9211E"/>
        </w:rPr>
      </w:pPr>
      <w:r>
        <w:rPr>
          <w:rFonts w:ascii="Carlito" w:hAnsi="Carlito"/>
          <w:color w:val="C9211E"/>
        </w:rPr>
      </w:r>
    </w:p>
    <w:p>
      <w:pPr>
        <w:pStyle w:val="LONormal1"/>
        <w:overflowPunct w:val="true"/>
        <w:jc w:val="center"/>
        <w:rPr/>
      </w:pPr>
      <w:r>
        <w:rPr>
          <w:rStyle w:val="Fontepargpadro"/>
          <w:rFonts w:eastAsia="Calibri" w:cs="Carlito;Calibri" w:ascii="Carlito" w:hAnsi="Carlito"/>
          <w:color w:val="000000"/>
          <w:sz w:val="24"/>
          <w:szCs w:val="24"/>
          <w:shd w:fill="FFFFFF" w:val="clear"/>
        </w:rPr>
        <w:t>GILSON MATTOS HORÁCIO JÚNIOR</w:t>
      </w:r>
    </w:p>
    <w:p>
      <w:pPr>
        <w:pStyle w:val="LONormal1"/>
        <w:jc w:val="center"/>
        <w:rPr/>
      </w:pPr>
      <w:r>
        <w:rPr>
          <w:rStyle w:val="Fontepargpadro"/>
          <w:rFonts w:eastAsia="Calibri" w:cs="Calibri" w:ascii="Carlito" w:hAnsi="Carlito"/>
          <w:color w:val="000000"/>
          <w:kern w:val="0"/>
          <w:sz w:val="24"/>
          <w:szCs w:val="24"/>
          <w:lang w:bidi="ar-SA"/>
        </w:rPr>
        <w:t>CABO (FN-IF)</w:t>
      </w:r>
    </w:p>
    <w:p>
      <w:pPr>
        <w:pStyle w:val="Normal"/>
        <w:overflowPunct w:val="false"/>
        <w:jc w:val="center"/>
        <w:rPr/>
      </w:pPr>
      <w:r>
        <w:rPr>
          <w:rStyle w:val="Fontepargpadro"/>
          <w:rFonts w:eastAsia="Calibri" w:cs="Calibri" w:ascii="Carlito" w:hAnsi="Carlito"/>
          <w:color w:val="000000"/>
          <w:spacing w:val="-2"/>
          <w:kern w:val="0"/>
          <w:sz w:val="24"/>
          <w:szCs w:val="24"/>
          <w:shd w:fill="FFFFFF" w:val="clear"/>
          <w:lang w:eastAsia="zh-CN" w:bidi="ar-SA"/>
        </w:rPr>
        <w:t>Equipe de Planejamento</w:t>
      </w:r>
    </w:p>
    <w:p>
      <w:pPr>
        <w:pStyle w:val="Normal"/>
        <w:overflowPunct w:val="false"/>
        <w:jc w:val="both"/>
        <w:rPr>
          <w:rFonts w:ascii="Carlito" w:hAnsi="Carlito" w:eastAsia="Calibri" w:cs="Calibri"/>
          <w:color w:val="C9211E"/>
          <w:spacing w:val="-2"/>
          <w:sz w:val="20"/>
        </w:rPr>
      </w:pPr>
      <w:r>
        <w:rPr>
          <w:rFonts w:eastAsia="Calibri" w:cs="Calibri" w:ascii="Carlito" w:hAnsi="Carlito"/>
          <w:color w:val="C9211E"/>
          <w:spacing w:val="-2"/>
          <w:sz w:val="20"/>
        </w:rPr>
      </w:r>
    </w:p>
    <w:p>
      <w:pPr>
        <w:pStyle w:val="Normal"/>
        <w:spacing w:before="138" w:after="0"/>
        <w:ind w:left="712" w:right="709" w:hanging="0"/>
        <w:jc w:val="center"/>
        <w:rPr>
          <w:rFonts w:ascii="Carlito" w:hAnsi="Carlito"/>
        </w:rPr>
      </w:pPr>
      <w:r>
        <w:rPr>
          <w:rFonts w:ascii="Carlito" w:hAnsi="Carlito"/>
        </w:rPr>
      </w:r>
    </w:p>
    <w:p>
      <w:pPr>
        <w:pStyle w:val="Ttulo1"/>
        <w:spacing w:before="138" w:after="0"/>
        <w:ind w:left="712" w:right="709" w:hanging="0"/>
        <w:jc w:val="center"/>
        <w:rPr>
          <w:rFonts w:ascii="Carlito" w:hAnsi="Carlito"/>
        </w:rPr>
      </w:pPr>
      <w:r>
        <w:rPr>
          <w:rFonts w:ascii="Carlito" w:hAnsi="Carlito"/>
          <w:spacing w:val="-2"/>
        </w:rPr>
        <w:t>APROVAÇÃO</w:t>
      </w:r>
    </w:p>
    <w:p>
      <w:pPr>
        <w:pStyle w:val="Corpodotexto"/>
        <w:spacing w:before="52" w:after="52"/>
        <w:ind w:left="235" w:hanging="0"/>
        <w:jc w:val="both"/>
        <w:rPr>
          <w:color w:val="C9211E"/>
        </w:rPr>
      </w:pPr>
      <w:r>
        <w:rPr>
          <w:rFonts w:ascii="Carlito" w:hAnsi="Carlito"/>
          <w:b/>
          <w:color w:val="C9211E"/>
          <w:u w:val="single"/>
        </w:rPr>
        <w:t>APROVO</w:t>
      </w:r>
      <w:r>
        <w:rPr>
          <w:rFonts w:ascii="Carlito" w:hAnsi="Carlito"/>
          <w:b/>
          <w:color w:val="C9211E"/>
        </w:rPr>
        <w:t xml:space="preserve"> </w:t>
      </w:r>
      <w:r>
        <w:rPr>
          <w:rFonts w:ascii="Carlito" w:hAnsi="Carlito"/>
          <w:b/>
          <w:color w:val="auto"/>
          <w:sz w:val="24"/>
          <w:szCs w:val="24"/>
        </w:rPr>
        <w:t>o presente Termo de referência, tendo atendido os requisitos do artigo 6º, inciso XXIII, da Lei nº14.133/21.</w:t>
      </w:r>
    </w:p>
    <w:p>
      <w:pPr>
        <w:pStyle w:val="Normal"/>
        <w:overflowPunct w:val="false"/>
        <w:jc w:val="center"/>
        <w:rPr>
          <w:rFonts w:ascii="Carlito" w:hAnsi="Carlito" w:eastAsia="Times New Roman" w:cs="Calibri"/>
          <w:color w:val="000000"/>
          <w:lang w:eastAsia="zh-CN"/>
        </w:rPr>
      </w:pPr>
      <w:r>
        <w:rPr>
          <w:rFonts w:eastAsia="Times New Roman" w:cs="Calibri" w:ascii="Carlito" w:hAnsi="Carlito"/>
          <w:color w:val="000000"/>
          <w:lang w:eastAsia="zh-CN"/>
        </w:rPr>
      </w:r>
    </w:p>
    <w:p>
      <w:pPr>
        <w:pStyle w:val="Normal"/>
        <w:overflowPunct w:val="false"/>
        <w:jc w:val="center"/>
        <w:rPr>
          <w:rFonts w:ascii="Carlito" w:hAnsi="Carlito" w:eastAsia="Times New Roman" w:cs="Calibri"/>
          <w:color w:val="000000"/>
          <w:lang w:eastAsia="zh-CN"/>
        </w:rPr>
      </w:pPr>
      <w:r>
        <w:rPr>
          <w:rFonts w:eastAsia="Times New Roman" w:cs="Calibri" w:ascii="Carlito" w:hAnsi="Carlito"/>
          <w:color w:val="000000"/>
          <w:lang w:eastAsia="zh-CN"/>
        </w:rPr>
      </w:r>
    </w:p>
    <w:p>
      <w:pPr>
        <w:pStyle w:val="Normal"/>
        <w:overflowPunct w:val="false"/>
        <w:jc w:val="center"/>
        <w:rPr>
          <w:rFonts w:ascii="Carlito" w:hAnsi="Carlito" w:eastAsia="Times New Roman" w:cs="Calibri"/>
          <w:color w:val="000000"/>
          <w:lang w:eastAsia="zh-CN"/>
        </w:rPr>
      </w:pPr>
      <w:r>
        <w:rPr>
          <w:rFonts w:eastAsia="Times New Roman" w:cs="Calibri" w:ascii="Carlito" w:hAnsi="Carlito"/>
          <w:color w:val="000000"/>
          <w:lang w:eastAsia="zh-CN"/>
        </w:rPr>
      </w:r>
    </w:p>
    <w:p>
      <w:pPr>
        <w:pStyle w:val="Normal"/>
        <w:overflowPunct w:val="false"/>
        <w:jc w:val="center"/>
        <w:rPr>
          <w:rFonts w:ascii="Carlito" w:hAnsi="Carlito" w:eastAsia="Times New Roman" w:cs="Calibri"/>
          <w:color w:val="000000"/>
          <w:lang w:eastAsia="zh-CN"/>
        </w:rPr>
      </w:pPr>
      <w:r>
        <w:rPr>
          <w:rFonts w:eastAsia="Calibri" w:cs="Carlito;Calibri" w:ascii="Carlito" w:hAnsi="Carlito"/>
          <w:color w:val="000000"/>
          <w:shd w:fill="FFFFFF" w:val="clear"/>
        </w:rPr>
        <w:t>LEANDRO DE LIMA SANTOS</w:t>
      </w:r>
    </w:p>
    <w:p>
      <w:pPr>
        <w:pStyle w:val="Normal"/>
        <w:jc w:val="center"/>
        <w:rPr>
          <w:rFonts w:ascii="Carlito" w:hAnsi="Carlito"/>
        </w:rPr>
      </w:pPr>
      <w:r>
        <w:rPr>
          <w:rFonts w:ascii="Carlito" w:hAnsi="Carlito"/>
        </w:rPr>
        <w:t>Capitão de Mar e Guerra (FN)</w:t>
      </w:r>
    </w:p>
    <w:p>
      <w:pPr>
        <w:pStyle w:val="Normal"/>
        <w:overflowPunct w:val="false"/>
        <w:jc w:val="center"/>
        <w:rPr>
          <w:rFonts w:ascii="Carlito" w:hAnsi="Carlito" w:eastAsia="Times New Roman" w:cs="Calibri"/>
          <w:color w:val="000000"/>
          <w:lang w:eastAsia="zh-CN"/>
        </w:rPr>
      </w:pPr>
      <w:r>
        <w:rPr>
          <w:rFonts w:eastAsia="Times New Roman" w:cs="Calibri" w:ascii="Carlito" w:hAnsi="Carlito"/>
          <w:color w:val="000000"/>
          <w:lang w:eastAsia="zh-CN"/>
        </w:rPr>
        <w:t>Ordenador de Despesa</w:t>
      </w:r>
    </w:p>
    <w:p>
      <w:pPr>
        <w:pStyle w:val="Corpodotexto"/>
        <w:spacing w:before="280" w:after="280"/>
        <w:ind w:left="712" w:right="711" w:hanging="0"/>
        <w:jc w:val="center"/>
        <w:rPr>
          <w:rFonts w:ascii="Carlito" w:hAnsi="Carlito"/>
        </w:rPr>
      </w:pPr>
      <w:r>
        <w:rPr/>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701" w:right="850" w:gutter="0" w:header="850" w:top="1559" w:footer="850" w:bottom="1559"/>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1901-01-01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De acordo com o artigo 6º, inciso XXIII, alínea ‘c’, da Lei nº 14.133, de 2021, a fundamentação da contratação é realizada mediante “referência aos estudos técnicos preliminares (ETP) correspondentes ou, quando não for possível divulgar esses estudos, no extrato das partes que não contiverem informações sigilosas”.  A Instrução Normativa SEGES/ME nº 58, de 8 de agosto de 2022, dispõe sobre a “elaboração do ETP, para a aquisição de bens e a contratação de serviços e obras no âmbito da administração pública federal direta, autárquica e fundacional, e sobre o Sistema ETP digital”. No mesmo sentido é a previsão do art. 9º, inciso II, da Instrução Normativa Seges/ME nº 81, de 2022.</w:t>
      </w:r>
    </w:p>
  </w:comment>
  <w:comment w:id="1" w:author="Autor" w:date="1901-01-01T00:00:00Z" w:initials="A">
    <w:p>
      <w:r>
        <w:rPr>
          <w:rFonts w:ascii="Liberation Serif" w:hAnsi="Liberation Serif" w:eastAsia="DejaVu Sans" w:cs="DejaVu Sans"/>
          <w:b/>
          <w:bCs/>
          <w:i/>
          <w:iCs/>
          <w:lang w:val="en-US" w:eastAsia="en-US" w:bidi="en-US"/>
        </w:rPr>
        <w:t>Nota Explicativa 1:</w:t>
      </w:r>
      <w:r>
        <w:rPr>
          <w:rFonts w:ascii="Liberation Serif" w:hAnsi="Liberation Serif" w:eastAsia="DejaVu Sans" w:cs="DejaVu Sans"/>
          <w:i/>
          <w:iCs/>
          <w:lang w:val="en-US" w:eastAsia="en-US" w:bidi="en-US"/>
        </w:rPr>
        <w:t xml:space="preserve"> Artigo 18, §1º, da Lei nº 14.133, de 2021, contém a seguinte redação: </w:t>
      </w:r>
    </w:p>
    <w:p>
      <w:r>
        <w:rPr>
          <w:rFonts w:ascii="Liberation Serif" w:hAnsi="Liberation Serif" w:eastAsia="DejaVu Sans" w:cs="DejaVu Sans"/>
          <w:i/>
          <w:iCs/>
          <w:lang w:val="en-US" w:eastAsia="en-US" w:bidi="en-US"/>
        </w:rPr>
        <w:t>§ 1º O estudo técnico</w:t>
      </w:r>
    </w:p>
    <w:p>
      <w:r>
        <w:rPr>
          <w:rFonts w:ascii="Liberation Serif" w:hAnsi="Liberation Serif" w:eastAsia="DejaVu Sans" w:cs="DejaVu Sans"/>
          <w:i/>
          <w:iCs/>
          <w:lang w:val="en-US" w:eastAsia="en-US" w:bidi="en-US"/>
        </w:rPr>
        <w:t>preliminar a que se refere o inciso I do caput deste artigo deverá evidenciar o</w:t>
      </w:r>
    </w:p>
    <w:p>
      <w:r>
        <w:rPr>
          <w:rFonts w:ascii="Liberation Serif" w:hAnsi="Liberation Serif" w:eastAsia="DejaVu Sans" w:cs="DejaVu Sans"/>
          <w:i/>
          <w:iCs/>
          <w:lang w:val="en-US" w:eastAsia="en-US" w:bidi="en-US"/>
        </w:rPr>
        <w:t>problema a ser resolvido e a sua melhor solução, de modo a permitir a avaliação da viabilidade técnica e econômica da contratação, e conterá os seguintes elementos:</w:t>
      </w:r>
    </w:p>
    <w:p>
      <w:r>
        <w:rPr>
          <w:rFonts w:ascii="Liberation Serif" w:hAnsi="Liberation Serif" w:eastAsia="DejaVu Sans" w:cs="DejaVu Sans"/>
          <w:i/>
          <w:iCs/>
          <w:lang w:val="en-US" w:eastAsia="en-US" w:bidi="en-US"/>
        </w:rPr>
        <w:t xml:space="preserve">(...)VII - descrição da solução como um todo, inclusive das exigências relacionadas à manutenção e à assistência técnica, quando for o caso. </w:t>
      </w:r>
    </w:p>
    <w:p>
      <w:r>
        <w:rPr>
          <w:rFonts w:ascii="Liberation Serif" w:hAnsi="Liberation Serif" w:eastAsia="DejaVu Sans" w:cs="DejaVu Sans"/>
          <w:lang w:val="en-US" w:eastAsia="en-US" w:bidi="en-US"/>
        </w:rPr>
      </w:r>
    </w:p>
    <w:p>
      <w:r>
        <w:rPr>
          <w:rFonts w:ascii="Liberation Serif" w:hAnsi="Liberation Serif" w:eastAsia="DejaVu Sans" w:cs="DejaVu Sans"/>
          <w:i/>
          <w:iCs/>
          <w:lang w:val="en-US" w:eastAsia="en-US" w:bidi="en-US"/>
        </w:rPr>
        <w:t>Ver também Instrução Normativa SEGES/ME nº 58, de 08 de agosto de 2022 (ETP), art. 3º, inciso I e art. 6º.</w:t>
      </w:r>
    </w:p>
    <w:p>
      <w:r>
        <w:rPr>
          <w:rFonts w:ascii="Liberation Serif" w:hAnsi="Liberation Serif" w:eastAsia="DejaVu Sans" w:cs="DejaVu Sans"/>
          <w:i/>
          <w:iCs/>
          <w:lang w:val="en-US" w:eastAsia="en-US" w:bidi="en-US"/>
        </w:rPr>
        <w:t>Caso haja a necessidade de modificação da descrição em relação à originalmente feita nos estudos técnicos preliminares, recomenda-se essa redação, para que passe a contemplar essa alteração.</w:t>
      </w:r>
    </w:p>
    <w:p>
      <w:r>
        <w:rPr>
          <w:rFonts w:ascii="Liberation Serif" w:hAnsi="Liberation Serif" w:eastAsia="DejaVu Sans" w:cs="DejaVu Sans"/>
          <w:lang w:val="en-US" w:eastAsia="en-US" w:bidi="en-US"/>
        </w:rPr>
      </w:r>
    </w:p>
    <w:p>
      <w:r>
        <w:rPr>
          <w:rFonts w:ascii="Liberation Serif" w:hAnsi="Liberation Serif" w:eastAsia="DejaVu Sans" w:cs="DejaVu Sans"/>
          <w:i/>
          <w:iCs/>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A Instrução Normativa SEGES/ME nº 73, de 30 de setembro de 2022, em seu art. 9º, §1º, estabelece que os custos indiretos, relacionados às despesas de manutenção, utilização, reposição,</w:t>
      </w:r>
    </w:p>
    <w:p>
      <w:r>
        <w:rPr>
          <w:rFonts w:ascii="Liberation Serif" w:hAnsi="Liberation Serif" w:eastAsia="DejaVu Sans" w:cs="DejaVu Sans"/>
          <w:i/>
          <w:iCs/>
          <w:lang w:val="en-US" w:eastAsia="en-US" w:bidi="en-US"/>
        </w:rPr>
        <w:t>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O</w:t>
      </w:r>
    </w:p>
    <w:p>
      <w:r>
        <w:rPr>
          <w:rFonts w:ascii="Liberation Serif" w:hAnsi="Liberation Serif" w:eastAsia="DejaVu Sans" w:cs="DejaVu Sans"/>
          <w:i/>
          <w:iCs/>
          <w:lang w:val="en-US" w:eastAsia="en-US" w:bidi="en-US"/>
        </w:rPr>
        <w:t>objeto deve ser descrito de forma detalhada, com todas as especificações</w:t>
      </w:r>
    </w:p>
    <w:p>
      <w:r>
        <w:rPr>
          <w:rFonts w:ascii="Liberation Serif" w:hAnsi="Liberation Serif" w:eastAsia="DejaVu Sans" w:cs="DejaVu Sans"/>
          <w:i/>
          <w:iCs/>
          <w:lang w:val="en-US" w:eastAsia="en-US" w:bidi="en-US"/>
        </w:rPr>
        <w:t>necessárias e suficientes para garantir a qualidade da contração, cuidando-se</w:t>
      </w:r>
    </w:p>
    <w:p>
      <w:r>
        <w:rPr>
          <w:rFonts w:ascii="Liberation Serif" w:hAnsi="Liberation Serif" w:eastAsia="DejaVu Sans" w:cs="DejaVu Sans"/>
          <w:i/>
          <w:iCs/>
          <w:lang w:val="en-US" w:eastAsia="en-US" w:bidi="en-US"/>
        </w:rPr>
        <w:t>para que não sejam admitidas, previstas ou incluídas condições impertinentes ou irrelevantes para o específico objeto do contrato.</w:t>
      </w:r>
    </w:p>
    <w:p>
      <w:r>
        <w:rPr>
          <w:rFonts w:ascii="Liberation Serif" w:hAnsi="Liberation Serif" w:eastAsia="DejaVu Sans" w:cs="DejaVu Sans"/>
          <w:i/>
          <w:iCs/>
          <w:lang w:val="en-US" w:eastAsia="en-US" w:bidi="en-US"/>
        </w:rPr>
        <w:t>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 xml:space="preserve">Nota Explicativa 4: </w:t>
      </w:r>
      <w:r>
        <w:rPr>
          <w:rFonts w:ascii="Liberation Serif" w:hAnsi="Liberation Serif" w:eastAsia="DejaVu Sans" w:cs="DejaVu Sans"/>
          <w:i/>
          <w:iCs/>
          <w:lang w:val="en-US" w:eastAsia="en-US" w:bidi="en-US"/>
        </w:rPr>
        <w:t>O art. 6º, XXIII, “c”, da Lei nº 14.133, de 2021, e o art. 9º, IIII, da Instrução Normativa Seges/ME nº 81, de 2022,</w:t>
      </w:r>
    </w:p>
    <w:p>
      <w:r>
        <w:rPr>
          <w:rFonts w:ascii="Liberation Serif" w:hAnsi="Liberation Serif" w:eastAsia="DejaVu Sans" w:cs="DejaVu Sans"/>
          <w:i/>
          <w:iCs/>
          <w:lang w:val="en-US" w:eastAsia="en-US" w:bidi="en-US"/>
        </w:rPr>
        <w:t>dispõem que a descrição da solução como um todo deve considerar todo o</w:t>
      </w:r>
    </w:p>
    <w:p>
      <w:r>
        <w:rPr>
          <w:rFonts w:ascii="Liberation Serif" w:hAnsi="Liberation Serif" w:eastAsia="DejaVu Sans" w:cs="DejaVu Sans"/>
          <w:i/>
          <w:iCs/>
          <w:lang w:val="en-US" w:eastAsia="en-US" w:bidi="en-US"/>
        </w:rPr>
        <w:t>ciclo de vida do objeto. “Ciclo de Vida” é definido no art. 3º da Lei nº 12.305, de 02 de agosto de 2010, como sendo “série de etapas que envolvem o desenvolvimento do</w:t>
      </w:r>
    </w:p>
    <w:p>
      <w:r>
        <w:rPr>
          <w:rFonts w:ascii="Liberation Serif" w:hAnsi="Liberation Serif" w:eastAsia="DejaVu Sans" w:cs="DejaVu Sans"/>
          <w:i/>
          <w:iCs/>
          <w:lang w:val="en-US" w:eastAsia="en-US" w:bidi="en-US"/>
        </w:rPr>
        <w:t>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w:t>
      </w:r>
    </w:p>
    <w:p>
      <w:r>
        <w:rPr>
          <w:rFonts w:ascii="Liberation Serif" w:hAnsi="Liberation Serif" w:eastAsia="DejaVu Sans" w:cs="DejaVu Sans"/>
          <w:i/>
          <w:iCs/>
          <w:lang w:val="en-US" w:eastAsia="en-US" w:bidi="en-US"/>
        </w:rPr>
        <w:t xml:space="preserve">ou mais durável) até a destinação final. </w:t>
      </w:r>
      <w:r>
        <w:rPr>
          <w:rFonts w:ascii="Liberation Serif" w:hAnsi="Liberation Serif" w:eastAsia="DejaVu Sans" w:cs="DejaVu Sans"/>
          <w:b/>
          <w:bCs/>
          <w:i/>
          <w:iCs/>
          <w:lang w:val="en-US" w:eastAsia="en-US" w:bidi="en-US"/>
        </w:rPr>
        <w:t xml:space="preserve">Reitere-se: </w:t>
      </w:r>
      <w:r>
        <w:rPr>
          <w:rFonts w:ascii="Liberation Serif" w:hAnsi="Liberation Serif" w:eastAsia="DejaVu Sans" w:cs="DejaVu Sans"/>
          <w:b/>
          <w:bCs/>
          <w:lang w:val="en-US" w:eastAsia="en-US" w:bidi="en-US"/>
        </w:rPr>
        <w:t>se a descrição contida no ETP não contiver esse ponto, deve ser complementada</w:t>
      </w:r>
    </w:p>
    <w:p>
      <w:r>
        <w:rPr>
          <w:rFonts w:ascii="Liberation Serif" w:hAnsi="Liberation Serif" w:eastAsia="DejaVu Sans" w:cs="DejaVu Sans"/>
          <w:b/>
          <w:bCs/>
          <w:lang w:val="en-US" w:eastAsia="en-US" w:bidi="en-US"/>
        </w:rPr>
        <w:t>neste TR</w:t>
      </w:r>
      <w:r>
        <w:rPr>
          <w:rFonts w:ascii="Liberation Serif" w:hAnsi="Liberation Serif" w:eastAsia="DejaVu Sans" w:cs="DejaVu Sans"/>
          <w:i/>
          <w:iCs/>
          <w:lang w:val="en-US" w:eastAsia="en-US" w:bidi="en-US"/>
        </w:rPr>
        <w:t>.</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Nota Explicativa 5:</w:t>
      </w:r>
      <w:r>
        <w:rPr>
          <w:rFonts w:ascii="Liberation Serif" w:hAnsi="Liberation Serif" w:eastAsia="DejaVu Sans" w:cs="DejaVu Sans"/>
          <w:i/>
          <w:iCs/>
          <w:lang w:val="en-US" w:eastAsia="en-US" w:bidi="en-US"/>
        </w:rPr>
        <w:t xml:space="preserve"> O art. 40, §1º, inciso I, da Lei nº 14.133, de 2021, e o</w:t>
      </w:r>
    </w:p>
    <w:p>
      <w:r>
        <w:rPr>
          <w:rFonts w:ascii="Liberation Serif" w:hAnsi="Liberation Serif" w:eastAsia="DejaVu Sans" w:cs="DejaVu Sans"/>
          <w:i/>
          <w:iCs/>
          <w:lang w:val="en-US" w:eastAsia="en-US" w:bidi="en-US"/>
        </w:rPr>
        <w:t>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w:t>
      </w:r>
    </w:p>
    <w:p>
      <w:r>
        <w:rPr>
          <w:rFonts w:ascii="Liberation Serif" w:hAnsi="Liberation Serif" w:eastAsia="DejaVu Sans" w:cs="DejaVu Sans"/>
          <w:i/>
          <w:iCs/>
          <w:lang w:val="en-US" w:eastAsia="en-US" w:bidi="en-US"/>
        </w:rPr>
        <w:t>SEGES/ME nº 938, de 02 de fevereiro de 2022, instituiu o catálogo eletrônico de padronização, o qual deverá ser</w:t>
      </w:r>
    </w:p>
    <w:p>
      <w:r>
        <w:rPr>
          <w:rFonts w:ascii="Liberation Serif" w:hAnsi="Liberation Serif" w:eastAsia="DejaVu Sans" w:cs="DejaVu Sans"/>
          <w:i/>
          <w:iCs/>
          <w:lang w:val="en-US" w:eastAsia="en-US" w:bidi="en-US"/>
        </w:rPr>
        <w:t>consultado para verificar se a contratação almejada está contemplada em seus termos. Em existindo padronização aprovada, ela deve ser considerada e eventual</w:t>
      </w:r>
    </w:p>
    <w:p>
      <w:r>
        <w:rPr>
          <w:rFonts w:ascii="Liberation Serif" w:hAnsi="Liberation Serif" w:eastAsia="DejaVu Sans" w:cs="DejaVu Sans"/>
          <w:i/>
          <w:iCs/>
          <w:lang w:val="en-US" w:eastAsia="en-US" w:bidi="en-US"/>
        </w:rPr>
        <w:t>não-uso justificado nos autos.</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 xml:space="preserve">Nota Explicativa 6: </w:t>
      </w:r>
      <w:r>
        <w:rPr>
          <w:rFonts w:ascii="Liberation Serif" w:hAnsi="Liberation Serif" w:eastAsia="DejaVu Sans" w:cs="DejaVu Sans"/>
          <w:i/>
          <w:iCs/>
          <w:lang w:val="en-US" w:eastAsia="en-US" w:bidi="en-US"/>
        </w:rPr>
        <w:t>Em</w:t>
      </w:r>
    </w:p>
    <w:p>
      <w:r>
        <w:rPr>
          <w:rFonts w:ascii="Liberation Serif" w:hAnsi="Liberation Serif" w:eastAsia="DejaVu Sans" w:cs="DejaVu Sans"/>
          <w:i/>
          <w:iCs/>
          <w:lang w:val="en-US" w:eastAsia="en-US" w:bidi="en-US"/>
        </w:rPr>
        <w:t>havendo elementos de sustentabilidade (fornecimento em material reciclável ou com madeira de reflorestamento etc.) inerentes ao objeto contratual, estes devem estar na solução como um todo de</w:t>
      </w:r>
    </w:p>
    <w:p>
      <w:r>
        <w:rPr>
          <w:rFonts w:ascii="Liberation Serif" w:hAnsi="Liberation Serif" w:eastAsia="DejaVu Sans" w:cs="DejaVu Sans"/>
          <w:i/>
          <w:iCs/>
          <w:lang w:val="en-US" w:eastAsia="en-US" w:bidi="en-US"/>
        </w:rPr>
        <w:t>modo específico e concreto, evitando-se descrições genéricas, de difícil</w:t>
      </w:r>
    </w:p>
    <w:p>
      <w:r>
        <w:rPr>
          <w:rFonts w:ascii="Liberation Serif" w:hAnsi="Liberation Serif" w:eastAsia="DejaVu Sans" w:cs="DejaVu Sans"/>
          <w:i/>
          <w:iCs/>
          <w:lang w:val="en-US" w:eastAsia="en-US" w:bidi="en-US"/>
        </w:rPr>
        <w:t>aferição e controle. Recomenda-se destacar em tópicos específicos da descrição do objeto seus elementos</w:t>
      </w:r>
    </w:p>
    <w:p>
      <w:r>
        <w:rPr>
          <w:rFonts w:ascii="Liberation Serif" w:hAnsi="Liberation Serif" w:eastAsia="DejaVu Sans" w:cs="DejaVu Sans"/>
          <w:i/>
          <w:iCs/>
          <w:lang w:val="en-US" w:eastAsia="en-US" w:bidi="en-US"/>
        </w:rPr>
        <w:t xml:space="preserve">atinentes a aspectos de sustentabilidade. Sugere-se consultar o Guia Nacional de Contratações Sustentáveis da AGU. Sugere-se consultar o </w:t>
      </w:r>
      <w:hyperlink r:id="rId1">
        <w:r>
          <w:rPr>
            <w:rFonts w:ascii="Liberation Serif" w:hAnsi="Liberation Serif" w:eastAsia="DejaVu Sans" w:cs="DejaVu Sans"/>
            <w:i/>
            <w:iCs/>
            <w:lang w:val="en-US" w:eastAsia="en-US" w:bidi="en-US"/>
          </w:rPr>
          <w:t>Guia Nacional de Contratações</w:t>
        </w:r>
      </w:hyperlink>
    </w:p>
    <w:p>
      <w:hyperlink r:id="rId2">
        <w:r>
          <w:rPr>
            <w:rFonts w:ascii="Liberation Serif" w:hAnsi="Liberation Serif" w:eastAsia="DejaVu Sans" w:cs="DejaVu Sans"/>
            <w:lang w:val="en-US" w:eastAsia="en-US" w:bidi="en-US"/>
          </w:rPr>
          <w:t>Sustentáveis da AGU</w:t>
        </w:r>
      </w:hyperlink>
      <w:r>
        <w:rPr>
          <w:rFonts w:ascii="Liberation Serif" w:hAnsi="Liberation Serif" w:eastAsia="DejaVu Sans" w:cs="DejaVu Sans"/>
          <w:i/>
          <w:iCs/>
          <w:lang w:val="en-US" w:eastAsia="en-US" w:bidi="en-US"/>
        </w:rPr>
        <w:t xml:space="preserve"> para tal fim. Caso o Estudo Técnico Preliminar seja silente ou insuficiente a esse respeito,</w:t>
      </w:r>
    </w:p>
    <w:p>
      <w:r>
        <w:rPr>
          <w:rFonts w:ascii="Liberation Serif" w:hAnsi="Liberation Serif" w:eastAsia="DejaVu Sans" w:cs="DejaVu Sans"/>
          <w:i/>
          <w:iCs/>
          <w:lang w:val="en-US" w:eastAsia="en-US" w:bidi="en-US"/>
        </w:rPr>
        <w:t>recomenda-se abrir tópico específico nesta seção sobre a matéria. Vale</w:t>
      </w:r>
    </w:p>
    <w:p>
      <w:r>
        <w:rPr>
          <w:rFonts w:ascii="Liberation Serif" w:hAnsi="Liberation Serif" w:eastAsia="DejaVu Sans" w:cs="DejaVu Sans"/>
          <w:i/>
          <w:iCs/>
          <w:lang w:val="en-US" w:eastAsia="en-US" w:bidi="en-US"/>
        </w:rPr>
        <w:t>registrar que a sustentabilidade pode incidir a partir de características</w:t>
      </w:r>
    </w:p>
    <w:p>
      <w:r>
        <w:rPr>
          <w:rFonts w:ascii="Liberation Serif" w:hAnsi="Liberation Serif" w:eastAsia="DejaVu Sans" w:cs="DejaVu Sans"/>
          <w:i/>
          <w:iCs/>
          <w:lang w:val="en-US" w:eastAsia="en-US" w:bidi="en-US"/>
        </w:rPr>
        <w:t>do próprio objeto a ser contratado como também de outros modos, compilados no tópico “requisitos da contratação”, constante deste TR.</w:t>
      </w:r>
    </w:p>
  </w:comment>
  <w:comment w:id="2" w:author="Autor" w:date="1901-01-01T00:00:00Z" w:initials="A">
    <w:p>
      <w:r>
        <w:rPr>
          <w:rFonts w:ascii="Liberation Serif" w:hAnsi="Liberation Serif" w:eastAsia="DejaVu Sans" w:cs="DejaVu Sans"/>
          <w:b/>
          <w:bCs/>
          <w:i/>
          <w:iCs/>
          <w:lang w:val="en-US" w:eastAsia="en-US" w:bidi="en-US"/>
        </w:rPr>
        <w:t xml:space="preserve">Nota Explicativa 1: </w:t>
      </w:r>
      <w:r>
        <w:rPr>
          <w:rFonts w:ascii="Liberation Serif" w:hAnsi="Liberation Serif" w:eastAsia="DejaVu Sans" w:cs="DejaVu Sans"/>
          <w:i/>
          <w:iCs/>
          <w:lang w:val="en-US" w:eastAsia="en-US" w:bidi="en-US"/>
        </w:rPr>
        <w:t>Os requisitos da contratação deverão ser registrados nos Sistemas TR DIGITAL E ETP DIGITAL, nos termos do art. 9º, inciso IV da IN Seges/ME nº 81, de 2022 e art. 9º, inciso II, da Instrução Normativa Seges/ME nº 58, de 2022.</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 xml:space="preserve">Nota Explicativa 2: </w:t>
      </w:r>
      <w:r>
        <w:rPr>
          <w:rFonts w:ascii="Liberation Serif" w:hAnsi="Liberation Serif" w:eastAsia="DejaVu Sans" w:cs="DejaVu Sans"/>
          <w:i/>
          <w:iCs/>
          <w:lang w:val="en-US" w:eastAsia="en-US" w:bidi="en-US"/>
        </w:rPr>
        <w:t>Alguns requisitos de contratação tratados na lei foram abordados neste tópico do Termo de Referência. Isso não impede que outros requisitos de contratação, de caráter técnico, sejam inseridos pela área competente. Registre-se, apenas, que a documentação de habilitação técnica é objeto de tópico específico neste</w:t>
      </w:r>
    </w:p>
    <w:p>
      <w:r>
        <w:rPr>
          <w:rFonts w:ascii="Liberation Serif" w:hAnsi="Liberation Serif" w:eastAsia="DejaVu Sans" w:cs="DejaVu Sans"/>
          <w:i/>
          <w:iCs/>
          <w:lang w:val="en-US" w:eastAsia="en-US" w:bidi="en-US"/>
        </w:rPr>
        <w:t>TR (CRITÉRIOS DE SELEÇÃO DO FORNECEDOR) de modo que sua inclusão aqui seria redundante.</w:t>
      </w:r>
    </w:p>
  </w:comment>
  <w:comment w:id="3" w:author="Autor" w:date="1901-01-01T00:00:00Z" w:initials="A">
    <w:p>
      <w:r>
        <w:rPr>
          <w:rFonts w:ascii="Liberation Serif" w:hAnsi="Liberation Serif" w:eastAsia="DejaVu Sans" w:cs="DejaVu Sans"/>
          <w:b/>
          <w:bCs/>
          <w:i/>
          <w:iCs/>
          <w:lang w:val="en-US" w:eastAsia="en-US" w:bidi="en-US"/>
        </w:rPr>
        <w:t xml:space="preserve">Nota Explicativa 1: </w:t>
      </w:r>
      <w:r>
        <w:rPr>
          <w:rFonts w:ascii="Liberation Serif" w:hAnsi="Liberation Serif" w:eastAsia="DejaVu Sans" w:cs="DejaVu Sans"/>
          <w:i/>
          <w:iCs/>
          <w:lang w:val="en-US" w:eastAsia="en-US" w:bidi="en-US"/>
        </w:rPr>
        <w:t>Neste momento, a área técnica competente deverá indicar se a contratação utilizará a garantia de execução ou não. As regras especificas sobre garantia, pelo seu caráter jurídico, estarão previstas no contrato e deverão ser nele inseridas caso haja indicação positiva no Termo de Referência. Caso não haja uso de minuta contratual, recomenda-se copiar e colar aqui as regras do contrato sobre esse assunto.</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O percentual da garantia será de:</w:t>
      </w:r>
    </w:p>
    <w:p>
      <w:r>
        <w:rPr>
          <w:rFonts w:ascii="Liberation Serif" w:hAnsi="Liberation Serif" w:eastAsia="DejaVu Sans" w:cs="DejaVu Sans"/>
          <w:i/>
          <w:iCs/>
          <w:lang w:val="en-US" w:eastAsia="en-US" w:bidi="en-US"/>
        </w:rPr>
        <w:t>a) até 5% (cinco por cento) do</w:t>
      </w:r>
    </w:p>
    <w:p>
      <w:r>
        <w:rPr>
          <w:rFonts w:ascii="Liberation Serif" w:hAnsi="Liberation Serif" w:eastAsia="DejaVu Sans" w:cs="DejaVu Sans"/>
          <w:i/>
          <w:iCs/>
          <w:lang w:val="en-US" w:eastAsia="en-US" w:bidi="en-US"/>
        </w:rPr>
        <w:t xml:space="preserve">valor inicial do contrato, para contratações em geral, conforme </w:t>
      </w:r>
      <w:r>
        <w:fldChar w:fldCharType="begin"/>
      </w:r>
      <w:r>
        <w:instrText xml:space="preserve"> HYPERLINK "http://www.planalto.gov.br/ccivil_03/_ato2019-2022/2021/lei/L14133.htm" \l "art98"</w:instrText>
      </w:r>
      <w:r>
        <w:fldChar w:fldCharType="separate"/>
      </w:r>
      <w:r>
        <w:rPr>
          <w:rFonts w:ascii="Liberation Serif" w:hAnsi="Liberation Serif" w:eastAsia="DejaVu Sans" w:cs="DejaVu Sans"/>
          <w:i/>
          <w:iCs/>
          <w:lang w:val="en-US" w:eastAsia="en-US" w:bidi="en-US"/>
        </w:rPr>
        <w:t>art. 98 da Lei nº 14.133, de 2021</w:t>
      </w:r>
      <w:r>
        <w:fldChar w:fldCharType="end"/>
      </w:r>
      <w:r>
        <w:rPr>
          <w:rFonts w:ascii="Liberation Serif" w:hAnsi="Liberation Serif" w:eastAsia="DejaVu Sans" w:cs="DejaVu Sans"/>
          <w:i/>
          <w:iCs/>
          <w:lang w:val="en-US" w:eastAsia="en-US" w:bidi="en-US"/>
        </w:rPr>
        <w:t>;</w:t>
      </w:r>
    </w:p>
    <w:p>
      <w:r>
        <w:rPr>
          <w:rFonts w:ascii="Liberation Serif" w:hAnsi="Liberation Serif" w:eastAsia="DejaVu Sans" w:cs="DejaVu Sans"/>
          <w:i/>
          <w:iCs/>
          <w:lang w:val="en-US" w:eastAsia="en-US" w:bidi="en-US"/>
        </w:rPr>
        <w:t>b) até 10% (dez por cento) do</w:t>
      </w:r>
    </w:p>
    <w:p>
      <w:r>
        <w:rPr>
          <w:rFonts w:ascii="Liberation Serif" w:hAnsi="Liberation Serif" w:eastAsia="DejaVu Sans" w:cs="DejaVu Sans"/>
          <w:i/>
          <w:iCs/>
          <w:lang w:val="en-US" w:eastAsia="en-US" w:bidi="en-US"/>
        </w:rPr>
        <w:t>valor inicial do contrato, nos casos de alta complexidade técnica e riscos</w:t>
      </w:r>
    </w:p>
    <w:p>
      <w:r>
        <w:rPr>
          <w:rFonts w:ascii="Liberation Serif" w:hAnsi="Liberation Serif" w:eastAsia="DejaVu Sans" w:cs="DejaVu Sans"/>
          <w:i/>
          <w:iCs/>
          <w:lang w:val="en-US" w:eastAsia="en-US" w:bidi="en-US"/>
        </w:rPr>
        <w:t>envolvidos, caso em que deverá haver justificativa específica nos autos,</w:t>
      </w:r>
    </w:p>
    <w:p>
      <w:r>
        <w:rPr>
          <w:rFonts w:ascii="Liberation Serif" w:hAnsi="Liberation Serif" w:eastAsia="DejaVu Sans" w:cs="DejaVu Sans"/>
          <w:i/>
          <w:iCs/>
          <w:lang w:val="en-US" w:eastAsia="en-US" w:bidi="en-US"/>
        </w:rPr>
        <w:t>conforme art. 98 da Lei nº 14.133, de 2021;</w:t>
      </w:r>
    </w:p>
    <w:p>
      <w:r>
        <w:rPr>
          <w:rFonts w:ascii="Liberation Serif" w:hAnsi="Liberation Serif" w:eastAsia="DejaVu Sans" w:cs="DejaVu Sans"/>
          <w:i/>
          <w:iCs/>
          <w:lang w:val="en-US" w:eastAsia="en-US" w:bidi="en-US"/>
        </w:rPr>
        <w:t>c) deverá ser acrescido de</w:t>
      </w:r>
    </w:p>
    <w:p>
      <w:r>
        <w:rPr>
          <w:rFonts w:ascii="Liberation Serif" w:hAnsi="Liberation Serif" w:eastAsia="DejaVu Sans" w:cs="DejaVu Sans"/>
          <w:i/>
          <w:iCs/>
          <w:lang w:val="en-US" w:eastAsia="en-US" w:bidi="en-US"/>
        </w:rPr>
        <w:t>garantia adicional aos percentuais citados anteriormente, em casos de previsão</w:t>
      </w:r>
    </w:p>
    <w:p>
      <w:r>
        <w:rPr>
          <w:rFonts w:ascii="Liberation Serif" w:hAnsi="Liberation Serif" w:eastAsia="DejaVu Sans" w:cs="DejaVu Sans"/>
          <w:i/>
          <w:iCs/>
          <w:lang w:val="en-US" w:eastAsia="en-US" w:bidi="en-US"/>
        </w:rPr>
        <w:t xml:space="preserve">de antecipação de pagamento, nos termos do </w:t>
      </w:r>
      <w:r>
        <w:fldChar w:fldCharType="begin"/>
      </w:r>
      <w:r>
        <w:instrText xml:space="preserve"> HYPERLINK "http://www.planalto.gov.br/ccivil_03/_ato2019-2022/2021/lei/L14133.htm" \l "art145§2"</w:instrText>
      </w:r>
      <w:r>
        <w:fldChar w:fldCharType="separate"/>
      </w:r>
      <w:r>
        <w:rPr>
          <w:rFonts w:ascii="Liberation Serif" w:hAnsi="Liberation Serif" w:eastAsia="DejaVu Sans" w:cs="DejaVu Sans"/>
          <w:i/>
          <w:iCs/>
          <w:lang w:val="en-US" w:eastAsia="en-US" w:bidi="en-US"/>
        </w:rPr>
        <w:t>art. 145, § 2º, da Lei nº 14.133, de 2021</w:t>
      </w:r>
      <w:r>
        <w:fldChar w:fldCharType="end"/>
      </w:r>
      <w:r>
        <w:rPr>
          <w:rFonts w:ascii="Liberation Serif" w:hAnsi="Liberation Serif" w:eastAsia="DejaVu Sans" w:cs="DejaVu Sans"/>
          <w:i/>
          <w:iCs/>
          <w:lang w:val="en-US" w:eastAsia="en-US" w:bidi="en-US"/>
        </w:rPr>
        <w:t>;</w:t>
      </w:r>
    </w:p>
    <w:p>
      <w:r>
        <w:rPr>
          <w:rFonts w:ascii="Liberation Serif" w:hAnsi="Liberation Serif" w:eastAsia="DejaVu Sans" w:cs="DejaVu Sans"/>
          <w:i/>
          <w:iCs/>
          <w:lang w:val="en-US" w:eastAsia="en-US" w:bidi="en-US"/>
        </w:rPr>
        <w:t>d) Nos casos de contratos que impliquem a entrega de bens pela Administração, dos quais o contratado ficará depositário, o valor desses bens deverá ser acrescido ao valor da garantia calculado de acordo com os itens anteriores.</w:t>
      </w:r>
    </w:p>
    <w:p>
      <w:r>
        <w:rPr>
          <w:rFonts w:ascii="Liberation Serif" w:hAnsi="Liberation Serif" w:eastAsia="DejaVu Sans" w:cs="DejaVu Sans"/>
          <w:lang w:val="en-US" w:eastAsia="en-US" w:bidi="en-US"/>
        </w:rPr>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 xml:space="preserve">No </w:t>
      </w:r>
      <w:r>
        <w:fldChar w:fldCharType="begin"/>
      </w:r>
      <w:r>
        <w:instrText xml:space="preserve"> HYPERLINK "http://www.planalto.gov.br/ccivil_03/_ato2019-2022/2021/lei/L14133.htm" \l "art96§3"</w:instrText>
      </w:r>
      <w:r>
        <w:fldChar w:fldCharType="separate"/>
      </w:r>
      <w:r>
        <w:rPr>
          <w:rFonts w:ascii="Liberation Serif" w:hAnsi="Liberation Serif" w:eastAsia="DejaVu Sans" w:cs="DejaVu Sans"/>
          <w:i/>
          <w:iCs/>
          <w:lang w:val="en-US" w:eastAsia="en-US" w:bidi="en-US"/>
        </w:rPr>
        <w:t>art. 96, §3º, da Lei nº 14.133, de 2021</w:t>
      </w:r>
      <w:r>
        <w:fldChar w:fldCharType="end"/>
      </w:r>
      <w:r>
        <w:rPr>
          <w:rFonts w:ascii="Liberation Serif" w:hAnsi="Liberation Serif" w:eastAsia="DejaVu Sans" w:cs="DejaVu Sans"/>
          <w:i/>
          <w:iCs/>
          <w:lang w:val="en-US" w:eastAsia="en-US" w:bidi="en-US"/>
        </w:rPr>
        <w:t xml:space="preserve">, há previsão apenas do prazo para apresentação da garantia na modalidade seguro-garantia, em contratações precedidas de licitações, caso em que o prazo deverá ser contado da homologação da licitação. </w:t>
      </w:r>
      <w:r>
        <w:rPr>
          <w:rFonts w:ascii="Liberation Serif" w:hAnsi="Liberation Serif" w:eastAsia="DejaVu Sans" w:cs="DejaVu Sans"/>
          <w:lang w:val="en-US" w:eastAsia="en-US" w:bidi="en-US"/>
        </w:rPr>
        <w:t>(Aplica-se o mesmo entendimento para as contratações diretas precedidas de dispensa eletrônica)</w:t>
      </w:r>
    </w:p>
    <w:p>
      <w:r>
        <w:rPr>
          <w:rFonts w:ascii="Liberation Serif" w:hAnsi="Liberation Serif" w:eastAsia="DejaVu Sans" w:cs="DejaVu Sans"/>
          <w:i/>
          <w:iCs/>
          <w:lang w:val="en-US" w:eastAsia="en-US" w:bidi="en-US"/>
        </w:rPr>
        <w:t xml:space="preserve">Nas demais modalidades </w:t>
      </w:r>
      <w:r>
        <w:rPr>
          <w:rFonts w:ascii="Liberation Serif" w:hAnsi="Liberation Serif" w:eastAsia="DejaVu Sans" w:cs="DejaVu Sans"/>
          <w:lang w:val="en-US" w:eastAsia="en-US" w:bidi="en-US"/>
        </w:rPr>
        <w:t>de garantia</w:t>
      </w:r>
      <w:r>
        <w:rPr>
          <w:rFonts w:ascii="Liberation Serif" w:hAnsi="Liberation Serif" w:eastAsia="DejaVu Sans" w:cs="DejaVu Sans"/>
          <w:i/>
          <w:iCs/>
          <w:lang w:val="en-US" w:eastAsia="en-US" w:bidi="en-US"/>
        </w:rPr>
        <w:t>, deverá a Administração prever o prazo e o termo início de sua contagem para a apresentação da garantia. Como o seguro-garantia, nos termos da lei, teria de ser pré-contratual, esta disposição deve estar contida neste documento igualmente pré-contratual.</w:t>
      </w:r>
    </w:p>
    <w:p>
      <w:r>
        <w:rPr>
          <w:rFonts w:ascii="Liberation Serif" w:hAnsi="Liberation Serif" w:eastAsia="DejaVu Sans" w:cs="DejaVu Sans"/>
          <w:lang w:val="en-US" w:eastAsia="en-US" w:bidi="en-US"/>
        </w:rPr>
      </w:r>
    </w:p>
    <w:p>
      <w:r>
        <w:rPr>
          <w:rFonts w:ascii="Liberation Serif" w:hAnsi="Liberation Serif" w:eastAsia="DejaVu Sans" w:cs="DejaVu Sans"/>
          <w:lang w:val="en-US" w:eastAsia="en-US" w:bidi="en-US"/>
        </w:rPr>
      </w:r>
    </w:p>
  </w:comment>
  <w:comment w:id="4" w:author="Autor" w:date="1901-01-01T00:00:00Z" w:initials="A">
    <w:p>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Este item deve ser adaptado de acordo com as necessidades específicas do órgão ou entidade, apresentando-se, este modelo, de forma meramente exemplificativa.</w:t>
      </w:r>
    </w:p>
  </w:comment>
  <w:comment w:id="5" w:author="Autor" w:date="1901-01-01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Fica a critério da Administração exigir - ou não - a garantia contratual dos bens, complementar à garantia legal, mediante a devida fundamentação, a ser exposta neste item do Termo de Referência. Não a exigindo, deverá suprimir o item. </w:t>
      </w:r>
    </w:p>
    <w:p>
      <w:r>
        <w:rPr>
          <w:rFonts w:ascii="Liberation Serif" w:hAnsi="Liberation Serif" w:eastAsia="DejaVu Sans" w:cs="DejaVu Sans"/>
          <w:lang w:val="en-US" w:eastAsia="en-US" w:bidi="en-US"/>
        </w:rPr>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O </w:t>
      </w:r>
      <w:hyperlink r:id="rId3">
        <w:r>
          <w:rPr>
            <w:rFonts w:ascii="Liberation Serif" w:hAnsi="Liberation Serif" w:eastAsia="DejaVu Sans" w:cs="DejaVu Sans"/>
            <w:i/>
            <w:iCs/>
            <w:color w:val="000000"/>
            <w:lang w:val="en-US" w:eastAsia="en-US" w:bidi="en-US"/>
          </w:rPr>
          <w:t xml:space="preserve">artigo 9º, inciso alínea “d” </w:t>
        </w:r>
      </w:hyperlink>
      <w:hyperlink r:id="rId4">
        <w:r>
          <w:rPr>
            <w:rFonts w:ascii="Liberation Serif" w:hAnsi="Liberation Serif" w:eastAsia="DejaVu Sans" w:cs="DejaVu Sans"/>
            <w:i/>
            <w:iCs/>
            <w:color w:val="000000"/>
            <w:lang w:val="en-US" w:eastAsia="en-US" w:bidi="en-US"/>
          </w:rPr>
          <w:t>da IN Seges/ME nº 81</w:t>
        </w:r>
      </w:hyperlink>
      <w:r>
        <w:rPr>
          <w:rFonts w:ascii="Liberation Serif" w:hAnsi="Liberation Serif" w:eastAsia="DejaVu Sans" w:cs="DejaVu Sans"/>
          <w:i/>
          <w:iCs/>
          <w:lang w:val="en-US" w:eastAsia="en-US" w:bidi="en-US"/>
        </w:rPr>
        <w:t xml:space="preserve"> de 2022 ex</w:t>
      </w:r>
      <w:r>
        <w:rPr>
          <w:rFonts w:ascii="Liberation Serif" w:hAnsi="Liberation Serif" w:eastAsia="DejaVu Sans" w:cs="DejaVu Sans"/>
          <w:i/>
          <w:iCs/>
          <w:color w:val="000000"/>
          <w:lang w:val="en-US" w:eastAsia="en-US" w:bidi="en-US"/>
        </w:rPr>
        <w:t>ige que a inserção no TR Digital da especificação da garantia exigida e das condições de manutenção e assistência técnica, quando for o caso.</w:t>
      </w:r>
    </w:p>
  </w:comment>
  <w:comment w:id="6" w:author="Autor" w:date="0-00-00T00:00:00Z" w:initials="A">
    <w:p>
      <w:r>
        <w:rPr>
          <w:rFonts w:ascii="Liberation Serif" w:hAnsi="Liberation Serif" w:eastAsia="DejaVu Sans" w:cs="Noto Sans Arabic UI"/>
          <w:b/>
          <w:bCs/>
          <w:i/>
          <w:iCs/>
          <w:color w:val="000000"/>
          <w:lang w:val="en-US" w:eastAsia="en-US" w:bidi="en-US"/>
        </w:rPr>
        <w:t xml:space="preserve">Nota Explicativa: </w:t>
      </w:r>
      <w:r>
        <w:rPr>
          <w:rFonts w:ascii="Liberation Serif" w:hAnsi="Liberation Serif" w:eastAsia="DejaVu Sans" w:cs="Noto Sans Arabic UI"/>
          <w:i/>
          <w:iCs/>
          <w:color w:val="000000"/>
          <w:lang w:val="en-US" w:eastAsia="en-US" w:bidi="en-US"/>
        </w:rPr>
        <w:t>A exigência de garantia, bem como o prazo previsto devem ser justificados nos autos.</w:t>
      </w:r>
    </w:p>
  </w:comment>
  <w:comment w:id="7" w:author="Autor" w:date="1901-01-01T00:00:00Z" w:initials="A">
    <w:p>
      <w:r>
        <w:rPr>
          <w:rFonts w:ascii="Liberation Serif" w:hAnsi="Liberation Serif" w:eastAsia="DejaVu Sans" w:cs="DejaVu Sans"/>
          <w:b/>
          <w:bCs/>
          <w:lang w:val="en-US" w:eastAsia="en-US" w:bidi="en-US"/>
        </w:rPr>
        <w:t xml:space="preserve">Nota Explicativa: </w:t>
      </w:r>
      <w:r>
        <w:rPr>
          <w:rFonts w:ascii="Liberation Serif" w:hAnsi="Liberation Serif" w:eastAsia="DejaVu Sans" w:cs="DejaVu Sans"/>
          <w:lang w:val="en-US" w:eastAsia="en-US" w:bidi="en-US"/>
        </w:rPr>
        <w:t xml:space="preserve">Os gestores e fiscais do contrato serão designados pela autoridade máxima do órgão ou da entidade, ou a quem as normas de organização administrativa indicarem, na forma do </w:t>
      </w:r>
      <w:hyperlink r:id="rId5">
        <w:r>
          <w:rPr>
            <w:rFonts w:ascii="Liberation Serif" w:hAnsi="Liberation Serif" w:eastAsia="DejaVu Sans" w:cs="DejaVu Sans"/>
            <w:lang w:val="en-US" w:eastAsia="en-US" w:bidi="en-US"/>
          </w:rPr>
          <w:t>art. 7º da Lei nº 14.133, de 2021</w:t>
        </w:r>
      </w:hyperlink>
      <w:r>
        <w:rPr>
          <w:rFonts w:ascii="Liberation Serif" w:hAnsi="Liberation Serif" w:eastAsia="DejaVu Sans" w:cs="DejaVu Sans"/>
          <w:lang w:val="en-US" w:eastAsia="en-US" w:bidi="en-US"/>
        </w:rPr>
        <w:t xml:space="preserve">, e art. 8º do </w:t>
      </w:r>
      <w:hyperlink r:id="rId6">
        <w:r>
          <w:rPr>
            <w:rFonts w:ascii="Liberation Serif" w:hAnsi="Liberation Serif" w:eastAsia="DejaVu Sans" w:cs="DejaVu Sans"/>
            <w:lang w:val="en-US" w:eastAsia="en-US" w:bidi="en-US"/>
          </w:rPr>
          <w:t>Decreto nº 11.246, de 2022</w:t>
        </w:r>
      </w:hyperlink>
      <w:r>
        <w:rPr>
          <w:rFonts w:ascii="Liberation Serif" w:hAnsi="Liberation Serif" w:eastAsia="DejaVu Sans" w:cs="DejaVu Sans"/>
          <w:lang w:val="en-US" w:eastAsia="en-US" w:bidi="en-US"/>
        </w:rPr>
        <w:t>, devendo a Administração instruir os autos com as publicações dos atos de designação dos agentes públicos para o exercício dessas funções.</w:t>
      </w:r>
    </w:p>
  </w:comment>
  <w:comment w:id="8" w:author="Autor" w:date="1901-01-01T00:00:00Z" w:initials="A">
    <w:p>
      <w:r>
        <w:rPr>
          <w:rFonts w:ascii="Liberation Serif" w:hAnsi="Liberation Serif" w:eastAsia="DejaVu Sans" w:cs="DejaVu Sans"/>
          <w:b/>
          <w:lang w:val="en-US" w:eastAsia="en-US" w:bidi="en-US"/>
        </w:rPr>
        <w:t>Nota Explicativa:</w:t>
      </w:r>
      <w:r>
        <w:rPr>
          <w:rFonts w:ascii="Liberation Serif" w:hAnsi="Liberation Serif" w:eastAsia="DejaVu Sans" w:cs="DejaVu San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9" w:author="Autor" w:date="1901-01-01T00:00:00Z" w:initials="A">
    <w:p>
      <w:r>
        <w:rPr>
          <w:rFonts w:eastAsia="DejaVu Sans" w:cs="DejaVu Sans" w:ascii="Liberation Serif" w:hAnsi="Liberation Serif"/>
          <w:b/>
          <w:bCs/>
          <w:i/>
          <w:iCs/>
          <w:color w:val="000000"/>
          <w:lang w:val="en-US" w:eastAsia="en-US" w:bidi="en-US"/>
        </w:rPr>
        <w:t>Nota explicativa:</w:t>
      </w:r>
      <w:r>
        <w:rPr>
          <w:rFonts w:eastAsia="DejaVu Sans" w:cs="DejaVu Sans" w:ascii="Liberation Serif" w:hAnsi="Liberation Serif"/>
          <w:i/>
          <w:iCs/>
          <w:color w:val="000000"/>
          <w:lang w:val="en-US" w:eastAsia="en-US" w:bidi="en-US"/>
        </w:rPr>
        <w:t xml:space="preserve"> O art. 7º, inciso I, </w:t>
      </w:r>
      <w:hyperlink r:id="rId7">
        <w:r>
          <w:rPr>
            <w:rFonts w:eastAsia="DejaVu Sans" w:cs="DejaVu Sans" w:ascii="Liberation Serif" w:hAnsi="Liberation Serif"/>
            <w:i/>
            <w:iCs/>
            <w:color w:val="000000"/>
            <w:lang w:val="en-US" w:eastAsia="en-US" w:bidi="en-US"/>
          </w:rPr>
          <w:t>da Instrução Normativa SEGES/ME nº 77, de 4 de novembro de 2022</w:t>
        </w:r>
      </w:hyperlink>
      <w:r>
        <w:rPr>
          <w:rFonts w:eastAsia="DejaVu Sans" w:cs="DejaVu Sans" w:ascii="Liberation Serif" w:hAnsi="Liberation Serif"/>
          <w:i/>
          <w:iCs/>
          <w:color w:val="000000"/>
          <w:lang w:val="en-US" w:eastAsia="en-US" w:bidi="en-US"/>
        </w:rPr>
        <w:t xml:space="preserve">, estabelece o prazo de 10 (dez dias) úteis para a liquidação da despesa, </w:t>
      </w:r>
      <w:r>
        <w:rPr>
          <w:rFonts w:eastAsia="DejaVu Sans" w:cs="DejaVu Sans" w:ascii="Liberation Serif" w:hAnsi="Liberation Serif"/>
          <w:b/>
          <w:bCs/>
          <w:i/>
          <w:iCs/>
          <w:color w:val="000000"/>
          <w:lang w:val="en-US" w:eastAsia="en-US" w:bidi="en-US"/>
        </w:rPr>
        <w:t xml:space="preserve">a contar do recebimento da nota fiscal ou instrumento de cobrança equivalente </w:t>
      </w:r>
      <w:r>
        <w:rPr>
          <w:rFonts w:eastAsia="DejaVu Sans" w:cs="DejaVu Sans" w:ascii="Liberation Serif" w:hAnsi="Liberation Serif"/>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eastAsia="DejaVu Sans" w:cs="DejaVu Sans" w:ascii="Liberation Serif" w:hAnsi="Liberation Serif"/>
          <w:b/>
          <w:bCs/>
          <w:i/>
          <w:iCs/>
          <w:color w:val="000000"/>
          <w:lang w:val="en-US" w:eastAsia="en-US" w:bidi="en-US"/>
        </w:rPr>
        <w:t>o prazo máximo de 10 dias úteis deverá ser suficiente para as providências de recebimentos provisório, definitivo e de liquidação</w:t>
      </w:r>
      <w:r>
        <w:rPr>
          <w:rFonts w:eastAsia="DejaVu Sans" w:cs="DejaVu Sans" w:ascii="Liberation Serif" w:hAnsi="Liberation Serif"/>
          <w:i/>
          <w:iCs/>
          <w:color w:val="000000"/>
          <w:lang w:val="en-US" w:eastAsia="en-US" w:bidi="en-US"/>
        </w:rPr>
        <w:t xml:space="preserve">. Assim, embora a </w:t>
      </w:r>
      <w:hyperlink r:id="rId8">
        <w:r>
          <w:rPr>
            <w:rFonts w:eastAsia="DejaVu Sans" w:cs="DejaVu Sans" w:ascii="Liberation Serif" w:hAnsi="Liberation Serif"/>
            <w:i/>
            <w:iCs/>
            <w:color w:val="000000"/>
            <w:lang w:val="en-US" w:eastAsia="en-US" w:bidi="en-US"/>
          </w:rPr>
          <w:t>Lei nº 14.133/21</w:t>
        </w:r>
      </w:hyperlink>
      <w:r>
        <w:rPr>
          <w:rFonts w:eastAsia="DejaVu Sans" w:cs="DejaVu Sans" w:ascii="Liberation Serif" w:hAnsi="Liberation Serif"/>
          <w:i/>
          <w:iCs/>
          <w:color w:val="000000"/>
          <w:lang w:val="en-US" w:eastAsia="en-US" w:bidi="en-US"/>
        </w:rPr>
        <w:t xml:space="preserve"> não fixe prazo máximo de recebimento definitivo, este prazo deverá ser inferior ao fixado para liquidação de despesa pela </w:t>
      </w:r>
      <w:hyperlink r:id="rId9">
        <w:r>
          <w:rPr>
            <w:rFonts w:eastAsia="DejaVu Sans" w:cs="DejaVu Sans" w:ascii="Liberation Serif" w:hAnsi="Liberation Serif"/>
            <w:i/>
            <w:iCs/>
            <w:color w:val="000000"/>
            <w:lang w:val="en-US" w:eastAsia="en-US" w:bidi="en-US"/>
          </w:rPr>
          <w:t>IN SEGES/ME nº 77, de 2022</w:t>
        </w:r>
      </w:hyperlink>
      <w:r>
        <w:rPr>
          <w:rFonts w:eastAsia="DejaVu Sans" w:cs="DejaVu Sans" w:ascii="Liberation Serif" w:hAnsi="Liberation Serif"/>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10" w:author="Autor" w:date="1901-01-01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Observar que o artigo 7º, §2º, </w:t>
      </w:r>
      <w:hyperlink r:id="rId10">
        <w:r>
          <w:rPr>
            <w:rFonts w:ascii="Liberation Serif" w:hAnsi="Liberation Serif" w:eastAsia="DejaVu Sans" w:cs="DejaVu Sans"/>
            <w:i/>
            <w:iCs/>
            <w:color w:val="000000"/>
            <w:lang w:val="en-US" w:eastAsia="en-US" w:bidi="en-US"/>
          </w:rPr>
          <w:t>da Instrução Normativa nº 77, de 2022</w:t>
        </w:r>
      </w:hyperlink>
      <w:r>
        <w:rPr>
          <w:rFonts w:ascii="Liberation Serif" w:hAnsi="Liberation Serif" w:eastAsia="DejaVu Sans" w:cs="DejaVu Sans"/>
          <w:i/>
          <w:iCs/>
          <w:color w:val="000000"/>
          <w:lang w:val="en-US" w:eastAsia="en-US" w:bidi="en-US"/>
        </w:rPr>
        <w:t xml:space="preserve">, prevê que “Para as contratações decorrentes de despesas cujos valores não ultrapassem o limite de que trata o inciso II do </w:t>
      </w:r>
      <w:hyperlink r:id="rId11">
        <w:r>
          <w:rPr>
            <w:rFonts w:ascii="Liberation Serif" w:hAnsi="Liberation Serif" w:eastAsia="DejaVu Sans" w:cs="DejaVu Sans"/>
            <w:i/>
            <w:iCs/>
            <w:color w:val="000000"/>
            <w:lang w:val="en-US" w:eastAsia="en-US" w:bidi="en-US"/>
          </w:rPr>
          <w:t>art. 75 da Lei nº 14.133, de 2021</w:t>
        </w:r>
      </w:hyperlink>
      <w:r>
        <w:rPr>
          <w:rFonts w:ascii="Liberation Serif" w:hAnsi="Liberation Serif" w:eastAsia="DejaVu Sans" w:cs="DejaVu Sans"/>
          <w:i/>
          <w:iCs/>
          <w:color w:val="000000"/>
          <w:lang w:val="en-US" w:eastAsia="en-US" w:bidi="en-US"/>
        </w:rPr>
        <w:t xml:space="preserve">, os prazos de que dos incisos I e II do caput </w:t>
      </w:r>
      <w:r>
        <w:rPr>
          <w:rFonts w:ascii="Liberation Serif" w:hAnsi="Liberation Serif" w:eastAsia="DejaVu Sans" w:cs="DejaVu Sans"/>
          <w:b/>
          <w:bCs/>
          <w:i/>
          <w:iCs/>
          <w:color w:val="000000"/>
          <w:lang w:val="en-US" w:eastAsia="en-US" w:bidi="en-US"/>
        </w:rPr>
        <w:t>serão reduzidos pela metade</w:t>
      </w:r>
      <w:r>
        <w:rPr>
          <w:rFonts w:ascii="Liberation Serif" w:hAnsi="Liberation Serif" w:eastAsia="DejaVu Sans" w:cs="DejaVu Sans"/>
          <w:i/>
          <w:iCs/>
          <w:color w:val="000000"/>
          <w:lang w:val="en-US" w:eastAsia="en-US" w:bidi="en-US"/>
        </w:rPr>
        <w:t>.” (g.n). Como o prazo máximo de liquidação será reduzido pela metade, então o prazo de recebimento também deverá ser ajustado.</w:t>
      </w:r>
    </w:p>
  </w:comment>
  <w:comment w:id="11"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Deverá a Administração indicar o índice de preços a ser utilizado para a atualização monetária do valor devido ao contratado.</w:t>
      </w:r>
    </w:p>
  </w:comment>
  <w:comment w:id="12" w:author="Autor" w:date="1901-01-01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3"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Incluir esse item no caso de a contratação adotar o pagamento antecipado previsto no</w:t>
      </w:r>
      <w:hyperlink r:id="rId12">
        <w:r>
          <w:rPr>
            <w:rFonts w:ascii="Liberation Serif" w:hAnsi="Liberation Serif" w:eastAsia="DejaVu Sans" w:cs="DejaVu Sans"/>
            <w:i/>
            <w:iCs/>
            <w:color w:val="000000"/>
            <w:lang w:val="en-US" w:eastAsia="en-US" w:bidi="en-US"/>
          </w:rPr>
          <w:t xml:space="preserve"> § 1º do art. 145 da Lei nº 14.133, de 2021</w:t>
        </w:r>
      </w:hyperlink>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Importante lembrar que, para a utilização desse mecanismo, é necessário que se demonstre nos autos que a antecipação do pagamento é, alternativamente, ou condição indispensável para a obtenção do bem, ou propicia sensível economia de recursos (art. 145, § 1º, da Lei nº 14.133, de 2021). Em todo o caso, a lei impõe que a adoção do pagamento antecipado, parcial ou total, seja precedida de justificativa prévia.</w:t>
      </w:r>
    </w:p>
  </w:comment>
  <w:comment w:id="14"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lang w:val="en-US" w:eastAsia="en-US" w:bidi="en-US"/>
        </w:rPr>
        <w:t>A IN SEGES/ME nº 53, de 2020, disciplinou uma modalidade específica de operação de crédito no âmbito dos contratos administrativos – a denominada “operação de crédito garantida por cessão fiduciária” (ou, simplesmente, “cessão fiduciária”) –, prescrevendo, em seu art. 15, que editais e contratos prevejam expressamente sua admissibilidade. A possibilidade de cessão dos créditos de que trata a referida Instrução Normativa é, portanto, mandatória/cogente/impositiva.</w:t>
      </w:r>
    </w:p>
    <w:p>
      <w:r>
        <w:rPr>
          <w:rFonts w:ascii="Liberation Serif" w:hAnsi="Liberation Serif" w:eastAsia="DejaVu Sans" w:cs="DejaVu Sans"/>
          <w:i/>
          <w:iCs/>
          <w:lang w:val="en-US" w:eastAsia="en-US" w:bidi="en-US"/>
        </w:rPr>
        <w:t>A cessão fiduciária, regida pela IN SEGES/ME nº 53/2020, é feita com instituição financeira, para garantia de operação de crédito e ocorre por intermédio do sistema AntecipaGOV. Neste tipo de negócio jurídico, o fornecedor que detém um vínculo contratual com a Administração Pública, contrai empréstimo perante instituição financeira e, como garantia da operação, cede a esta última seus direitos creditórios pertinentes ao contrato administrativo, mas sem envolver a alteração subjetiva do polo contratual. A instituição financeira não passa a receber diretamente da Administração Pública; os pagamentos continuam sendo feitos à contratada, que indica conta corrente para este fim. É do recebimento do pagamento pela contratada em diante que é realizado o acertamento entre esta e a instituição financeira.</w:t>
      </w:r>
    </w:p>
    <w:p>
      <w:r>
        <w:rPr>
          <w:rFonts w:ascii="Liberation Serif" w:hAnsi="Liberation Serif" w:eastAsia="DejaVu Sans" w:cs="DejaVu Sans"/>
          <w:i/>
          <w:iCs/>
          <w:lang w:val="en-US" w:eastAsia="en-US" w:bidi="en-US"/>
        </w:rPr>
        <w:t>Já em relação às demais modalidades de cessão de crédito, não abrangidas pela IN SEGES/ME nº 53/2020, feitas fora da plataforma AntecipaGov, tem-se que sua previsão em editais e contratos administrativos, embora não obrigatória, continua admitida por força do Parecer JL-01, do Advogado-Geral da União (disponível em http://www.planalto.gov.br/ccivil_03/AGU/Pareceres/2019-2022/PRC-JL-01-2020.htm), aprovado pelo Sr. Presidente da República em 26/05/2020, e, portanto, vinculante para toda a administração pública (arts. 40, §1º e 41 da Lei Complementar nº 73, de 1993).</w:t>
      </w:r>
    </w:p>
    <w:p>
      <w:r>
        <w:rPr>
          <w:rFonts w:ascii="Liberation Serif" w:hAnsi="Liberation Serif" w:eastAsia="DejaVu Sans" w:cs="DejaVu Sans"/>
          <w:i/>
          <w:iCs/>
          <w:lang w:val="en-US" w:eastAsia="en-US" w:bidi="en-US"/>
        </w:rPr>
        <w:t>Quanto a estas últimas, importa destacar a seguinte condicionante que foi erigida pelo referido Parecer nº JL – 01/2020 como requisito para a sua admissibilidade em contratos administrativos: inexistência de vedação no instrumento convocatório. Assim, relativamente às cessões de crédito em geral, ter-se-á por admitida desde que não haja vedação em cláusula contratual ou no instrumento convocatório.</w:t>
      </w:r>
    </w:p>
  </w:comment>
  <w:comment w:id="15"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lang w:val="en-US" w:eastAsia="en-US" w:bidi="en-US"/>
        </w:rPr>
        <w:t xml:space="preserve">No caso desse subitem, o órgão contratante pode optar por mudar a redação para já vedar de plano as cessões não abrangidas pelo sistema AntecipaGov. Entretanto, reitera-se que as operações de crédito do AntecipaGov (subitem ) devem permanecer permitidas, por força do </w:t>
      </w:r>
      <w:hyperlink r:id="rId13">
        <w:r>
          <w:rPr>
            <w:rFonts w:ascii="Liberation Serif" w:hAnsi="Liberation Serif" w:eastAsia="DejaVu Sans" w:cs="DejaVu Sans"/>
            <w:i/>
            <w:iCs/>
            <w:lang w:val="en-US" w:eastAsia="en-US" w:bidi="en-US"/>
          </w:rPr>
          <w:t>art. 15 da IN SEGES/ME nº 53/2020</w:t>
        </w:r>
      </w:hyperlink>
      <w:r>
        <w:rPr>
          <w:rFonts w:ascii="Liberation Serif" w:hAnsi="Liberation Serif" w:eastAsia="DejaVu Sans" w:cs="DejaVu Sans"/>
          <w:i/>
          <w:iCs/>
          <w:lang w:val="en-US" w:eastAsia="en-US" w:bidi="en-US"/>
        </w:rPr>
        <w:t>.</w:t>
      </w:r>
      <w:r>
        <w:rPr>
          <w:rFonts w:ascii="Liberation Serif" w:hAnsi="Liberation Serif" w:eastAsia="DejaVu Sans" w:cs="DejaVu Sans"/>
          <w:i/>
          <w:iCs/>
          <w:color w:val="000000"/>
          <w:lang w:val="en-US" w:eastAsia="en-US" w:bidi="en-US"/>
        </w:rPr>
        <w:t>.</w:t>
      </w:r>
    </w:p>
  </w:comment>
  <w:comment w:id="16" w:author="Autor" w:date="1901-01-01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Conforme exposto, a operação de crédito realizada por meio do AntecipaGov não configura uma cessão de crédito tratada no PARECER Nº JL - 01, não sendo necessária a formalização por meio de Termo Aditivo.</w:t>
      </w:r>
    </w:p>
  </w:comment>
  <w:comment w:id="17" w:author="Autor" w:date="1901-01-01T00:00:00Z" w:initials="A">
    <w:p>
      <w:r>
        <w:rPr>
          <w:rFonts w:ascii="Liberation Serif" w:hAnsi="Liberation Serif" w:eastAsia="DejaVu Sans" w:cs="DejaVu Sans"/>
          <w:b/>
          <w:bCs/>
          <w:i/>
          <w:iCs/>
          <w:lang w:val="en-US" w:eastAsia="en-US" w:bidi="en-US"/>
        </w:rPr>
        <w:t xml:space="preserve">Nota Explicativa: </w:t>
      </w:r>
      <w:r>
        <w:rPr>
          <w:rFonts w:ascii="Liberation Serif" w:hAnsi="Liberation Serif" w:eastAsia="DejaVu Sans" w:cs="DejaVu Sans"/>
          <w:lang w:val="en-US" w:eastAsia="en-US" w:bidi="en-US"/>
        </w:rPr>
        <w:t>A INSTRUÇÃO NORMATIVA Nº 53, DE 8 DE JULHO DE 2020 apresenta algumas limitações quanto ao valor da operação de crédito:</w:t>
      </w:r>
    </w:p>
    <w:p>
      <w:r>
        <w:rPr>
          <w:rFonts w:ascii="Liberation Serif" w:hAnsi="Liberation Serif" w:eastAsia="DejaVu Sans" w:cs="DejaVu Sans"/>
          <w:lang w:val="en-US" w:eastAsia="en-US" w:bidi="en-US"/>
        </w:rPr>
        <w:t>Anexo I:</w:t>
      </w:r>
    </w:p>
    <w:p>
      <w:r>
        <w:rPr>
          <w:rFonts w:ascii="Liberation Serif" w:hAnsi="Liberation Serif" w:eastAsia="DejaVu Sans" w:cs="DejaVu Sans"/>
          <w:lang w:val="en-US" w:eastAsia="en-US" w:bidi="en-US"/>
        </w:rPr>
        <w:t xml:space="preserve">"1.2. O </w:t>
      </w:r>
      <w:r>
        <w:rPr>
          <w:rFonts w:ascii="Liberation Serif" w:hAnsi="Liberation Serif" w:eastAsia="DejaVu Sans" w:cs="DejaVu Sans"/>
          <w:b/>
          <w:bCs/>
          <w:lang w:val="en-US" w:eastAsia="en-US" w:bidi="en-US"/>
        </w:rPr>
        <w:t>valor da operação de crédito não poderá exceder a setenta por cento do saldo</w:t>
      </w:r>
      <w:r>
        <w:rPr>
          <w:rFonts w:ascii="Liberation Serif" w:hAnsi="Liberation Serif" w:eastAsia="DejaVu Sans" w:cs="DejaVu Sans"/>
          <w:lang w:val="en-US" w:eastAsia="en-US" w:bidi="en-US"/>
        </w:rPr>
        <w:t xml:space="preserve"> a receber atualizado do(s) contrato(s) selecionado(s) pelas instituições financeiras.</w:t>
      </w:r>
    </w:p>
    <w:p>
      <w:r>
        <w:rPr>
          <w:rFonts w:ascii="Liberation Serif" w:hAnsi="Liberation Serif" w:eastAsia="DejaVu Sans" w:cs="DejaVu Sans"/>
          <w:lang w:val="en-US" w:eastAsia="en-US" w:bidi="en-US"/>
        </w:rPr>
        <w:t>(...)</w:t>
      </w:r>
    </w:p>
    <w:p>
      <w:r>
        <w:rPr>
          <w:rFonts w:ascii="Liberation Serif" w:hAnsi="Liberation Serif" w:eastAsia="DejaVu Sans" w:cs="DejaVu Sans"/>
          <w:lang w:val="en-US" w:eastAsia="en-US" w:bidi="en-US"/>
        </w:rPr>
        <w:t xml:space="preserve">a) </w:t>
      </w:r>
      <w:r>
        <w:rPr>
          <w:rFonts w:ascii="Liberation Serif" w:hAnsi="Liberation Serif" w:eastAsia="DejaVu Sans" w:cs="DejaVu Sans"/>
          <w:b/>
          <w:bCs/>
          <w:lang w:val="en-US" w:eastAsia="en-US" w:bidi="en-US"/>
        </w:rPr>
        <w:t xml:space="preserve">o valor máximo da nova operação </w:t>
      </w:r>
      <w:r>
        <w:rPr>
          <w:rFonts w:ascii="Liberation Serif" w:hAnsi="Liberation Serif" w:eastAsia="DejaVu Sans" w:cs="DejaVu Sans"/>
          <w:lang w:val="en-US" w:eastAsia="en-US" w:bidi="en-US"/>
        </w:rPr>
        <w:t>de crédito corresponderá a setenta por cento da diferença entre o saldo atualizado dos créditos do contrato e o saldo devedor atualizado da operação anterior;"</w:t>
      </w:r>
    </w:p>
  </w:comment>
  <w:comment w:id="18"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Os condicionamentos dos subitens 7.34 e 7.35 decorrem das conclusões do Parecer JL-01, de 18 de maio de 2020.</w:t>
      </w:r>
    </w:p>
  </w:comment>
  <w:comment w:id="19"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fundamental que a Administração observe que exigências demasiadas poderão prejudicar a competitividade e ofender a o disposto no </w:t>
      </w:r>
      <w:hyperlink r:id="rId14">
        <w:r>
          <w:rPr>
            <w:rFonts w:ascii="Liberation Serif" w:hAnsi="Liberation Serif" w:eastAsia="DejaVu Sans" w:cs="DejaVu Sans"/>
            <w:i/>
            <w:iCs/>
            <w:color w:val="000000"/>
            <w:lang w:val="en-US" w:eastAsia="en-US" w:bidi="en-US"/>
          </w:rPr>
          <w:t>art. 37, inciso XXI da Constituição Federal</w:t>
        </w:r>
      </w:hyperlink>
      <w:r>
        <w:rPr>
          <w:rFonts w:ascii="Liberation Serif" w:hAnsi="Liberation Serif" w:eastAsia="DejaVu Sans" w:cs="DejaVu Sans"/>
          <w:i/>
          <w:iCs/>
          <w:color w:val="000000"/>
          <w:lang w:val="en-US" w:eastAsia="en-US" w:bidi="en-US"/>
        </w:rPr>
        <w:t>, o qual preceitua que “o processo de licitação pública... somente permitirá as exigências de qualificação técnica e econômica indispensáveis à garantia do cumprimento das obrigações”.</w:t>
      </w:r>
    </w:p>
    <w:p>
      <w:r>
        <w:rPr>
          <w:rFonts w:ascii="Liberation Serif" w:hAnsi="Liberation Serif" w:eastAsia="DejaVu Sans" w:cs="DejaVu Sans"/>
          <w:i/>
          <w:iCs/>
          <w:color w:val="000000"/>
          <w:lang w:val="en-US" w:eastAsia="en-US" w:bidi="en-US"/>
        </w:rPr>
        <w:t>O</w:t>
      </w:r>
      <w:hyperlink r:id="rId15">
        <w:r>
          <w:rPr>
            <w:rFonts w:ascii="Liberation Serif" w:hAnsi="Liberation Serif" w:eastAsia="DejaVu Sans" w:cs="DejaVu Sans"/>
            <w:i/>
            <w:iCs/>
            <w:color w:val="000000"/>
            <w:lang w:val="en-US" w:eastAsia="en-US" w:bidi="en-US"/>
          </w:rPr>
          <w:t xml:space="preserve"> art. 70, III, da Lei Nº 14.133/2021</w:t>
        </w:r>
      </w:hyperlink>
      <w:r>
        <w:rPr>
          <w:rFonts w:ascii="Liberation Serif" w:hAnsi="Liberation Serif" w:eastAsia="DejaVu Sans" w:cs="DejaVu Sans"/>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r>
        <w:rPr>
          <w:rFonts w:ascii="Liberation Serif" w:hAnsi="Liberation Serif" w:eastAsia="DejaVu Sans" w:cs="DejaVu Sans"/>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r>
        <w:rPr>
          <w:rFonts w:ascii="Liberation Serif" w:hAnsi="Liberation Serif" w:eastAsia="DejaVu Sans" w:cs="DejaVu Sans"/>
          <w:i/>
          <w:iCs/>
          <w:color w:val="000000"/>
          <w:lang w:val="en-US" w:eastAsia="en-US" w:bidi="en-US"/>
        </w:rPr>
        <w:t xml:space="preserve">Em </w:t>
      </w:r>
      <w:r>
        <w:rPr>
          <w:rFonts w:ascii="Liberation Serif" w:hAnsi="Liberation Serif" w:eastAsia="DejaVu Sans" w:cs="DejaVu Sans"/>
          <w:lang w:val="en-US" w:eastAsia="en-US" w:bidi="en-US"/>
        </w:rPr>
        <w:t>dispensas eletrônicas</w:t>
      </w:r>
      <w:r>
        <w:rPr>
          <w:rFonts w:ascii="Liberation Serif" w:hAnsi="Liberation Serif" w:eastAsia="DejaVu Sans" w:cs="DejaVu Sans"/>
          <w:i/>
          <w:iCs/>
          <w:color w:val="000000"/>
          <w:lang w:val="en-US" w:eastAsia="en-US" w:bidi="en-US"/>
        </w:rPr>
        <w:t xml:space="preserve">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r>
        <w:rPr>
          <w:rFonts w:ascii="Liberation Serif" w:hAnsi="Liberation Serif" w:eastAsia="DejaVu Sans" w:cs="DejaVu Sans"/>
          <w:i/>
          <w:iCs/>
          <w:color w:val="000000"/>
          <w:lang w:val="en-US" w:eastAsia="en-US" w:bidi="en-US"/>
        </w:rPr>
        <w:t>É vedada a inclusão de requisitos que não tenham suporte nos arts. 66 a 69 da Lei nº 14.133, de 2021.</w:t>
      </w:r>
    </w:p>
  </w:comment>
  <w:comment w:id="20" w:author="Autor" w:date="1901-01-01T00:00:00Z" w:initials="A">
    <w:p>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xml:space="preserve"> A recomendação aos cadastros acima se dá à luz do art. 91, §4º da Lei nº 14.133/21 e se dá sem prejuízo da possibilidade, a juízo do órgão respectivo, de consulta complementar a outros cadastros governamentais análogos, tais como o do TCU (lista de inidôneos ou consulta consolidada).</w:t>
      </w:r>
    </w:p>
    <w:p>
      <w:r>
        <w:rPr>
          <w:rFonts w:ascii="Liberation Serif" w:hAnsi="Liberation Serif" w:eastAsia="DejaVu Sans" w:cs="DejaVu Sans"/>
          <w:lang w:val="en-US" w:eastAsia="en-US" w:bidi="en-US"/>
        </w:rPr>
      </w:r>
    </w:p>
  </w:comment>
  <w:comment w:id="21" w:author="Autor" w:date="1901-01-01T00:00:00Z" w:initials="A">
    <w:p>
      <w:r>
        <w:rPr>
          <w:rFonts w:ascii="Liberation Serif" w:hAnsi="Liberation Serif" w:eastAsia="DejaVu Sans" w:cs="DejaVu Sans"/>
          <w:b/>
          <w:bCs/>
          <w:lang w:val="en-US" w:eastAsia="en-US" w:bidi="en-US"/>
        </w:rPr>
        <w:t>Nota Explicativa:</w:t>
      </w:r>
      <w:r>
        <w:rPr>
          <w:rFonts w:ascii="Liberation Serif" w:hAnsi="Liberation Serif" w:eastAsia="DejaVu Sans" w:cs="DejaVu Sans"/>
          <w:lang w:val="en-US" w:eastAsia="en-US" w:bidi="en-US"/>
        </w:rPr>
        <w:t xml:space="preserve"> Os requisitos de habilitação jurídica deverão ser exigidos em conformidade com a natureza da futura contratada (empresário individual, sociedade empresária, cooperativa etc.), razão pela qual deverá ser adotada, a depender do caso, apenas a redação correspondente, dentre aquelas constantes a seguir: </w:t>
      </w:r>
    </w:p>
    <w:p>
      <w:r>
        <w:rPr>
          <w:rFonts w:ascii="Liberation Serif" w:hAnsi="Liberation Serif" w:eastAsia="DejaVu Sans" w:cs="DejaVu Sans"/>
          <w:lang w:val="en-US" w:eastAsia="en-US" w:bidi="en-US"/>
        </w:rPr>
      </w:r>
    </w:p>
  </w:comment>
  <w:comment w:id="22"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Instrução Normativa </w:t>
      </w:r>
      <w:hyperlink r:id="rId16">
        <w:r>
          <w:rPr>
            <w:rFonts w:ascii="Liberation Serif" w:hAnsi="Liberation Serif" w:eastAsia="DejaVu Sans" w:cs="DejaVu Sans"/>
            <w:i/>
            <w:iCs/>
            <w:color w:val="000000"/>
            <w:lang w:val="en-US" w:eastAsia="en-US" w:bidi="en-US"/>
          </w:rPr>
          <w:t>SEGES/ME nº 116, de 21 de dezembro de 2021</w:t>
        </w:r>
      </w:hyperlink>
      <w:r>
        <w:rPr>
          <w:rFonts w:ascii="Liberation Serif" w:hAnsi="Liberation Serif" w:eastAsia="DejaVu Sans" w:cs="DejaVu Sans"/>
          <w:i/>
          <w:iCs/>
          <w:color w:val="000000"/>
          <w:lang w:val="en-US" w:eastAsia="en-US" w:bidi="en-US"/>
        </w:rPr>
        <w:t xml:space="preserve">, estabelece procedimentos para a participação de pessoa física nas contratações públicas regidas pela </w:t>
      </w:r>
      <w:hyperlink r:id="rId17">
        <w:r>
          <w:rPr>
            <w:rFonts w:ascii="Liberation Serif" w:hAnsi="Liberation Serif" w:eastAsia="DejaVu Sans" w:cs="DejaVu Sans"/>
            <w:i/>
            <w:iCs/>
            <w:color w:val="000000"/>
            <w:lang w:val="en-US" w:eastAsia="en-US" w:bidi="en-US"/>
          </w:rPr>
          <w:t>Lei nº 14.133, de 2021</w:t>
        </w:r>
      </w:hyperlink>
      <w:r>
        <w:rPr>
          <w:rFonts w:ascii="Liberation Serif" w:hAnsi="Liberation Serif" w:eastAsia="DejaVu Sans" w:cs="DejaVu Sans"/>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DejaVu Sans" w:cs="DejaVu Sans"/>
          <w:i/>
          <w:iCs/>
          <w:color w:val="000000"/>
          <w:lang w:val="en-US" w:eastAsia="en-US" w:bidi="en-US"/>
        </w:rPr>
        <w:t xml:space="preserve">A </w:t>
      </w:r>
      <w:hyperlink r:id="rId18">
        <w:r>
          <w:rPr>
            <w:rFonts w:ascii="Liberation Serif" w:hAnsi="Liberation Serif" w:eastAsia="DejaVu Sans" w:cs="DejaVu Sans"/>
            <w:i/>
            <w:iCs/>
            <w:color w:val="000000"/>
            <w:lang w:val="en-US" w:eastAsia="en-US" w:bidi="en-US"/>
          </w:rPr>
          <w:t>IN SEGES/ME nº 116, de 2021</w:t>
        </w:r>
      </w:hyperlink>
      <w:r>
        <w:rPr>
          <w:rFonts w:ascii="Liberation Serif" w:hAnsi="Liberation Serif" w:eastAsia="DejaVu Sans" w:cs="DejaVu Sans"/>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DejaVu Sans" w:cs="DejaVu Sans"/>
          <w:b/>
          <w:bCs/>
          <w:i/>
          <w:iCs/>
          <w:color w:val="000000"/>
          <w:lang w:val="en-US" w:eastAsia="en-US" w:bidi="en-US"/>
        </w:rPr>
        <w:t>capital social mínimo</w:t>
      </w:r>
      <w:r>
        <w:rPr>
          <w:rFonts w:ascii="Liberation Serif" w:hAnsi="Liberation Serif" w:eastAsia="DejaVu Sans" w:cs="DejaVu Sans"/>
          <w:i/>
          <w:iCs/>
          <w:color w:val="000000"/>
          <w:lang w:val="en-US" w:eastAsia="en-US" w:bidi="en-US"/>
        </w:rPr>
        <w:t xml:space="preserve"> e </w:t>
      </w:r>
      <w:r>
        <w:rPr>
          <w:rFonts w:ascii="Liberation Serif" w:hAnsi="Liberation Serif" w:eastAsia="DejaVu Sans" w:cs="DejaVu Sans"/>
          <w:b/>
          <w:bCs/>
          <w:i/>
          <w:iCs/>
          <w:color w:val="000000"/>
          <w:lang w:val="en-US" w:eastAsia="en-US" w:bidi="en-US"/>
        </w:rPr>
        <w:t>estrutura mínima</w:t>
      </w:r>
      <w:r>
        <w:rPr>
          <w:rFonts w:ascii="Liberation Serif" w:hAnsi="Liberation Serif" w:eastAsia="DejaVu Sans" w:cs="DejaVu Sans"/>
          <w:i/>
          <w:iCs/>
          <w:color w:val="000000"/>
          <w:lang w:val="en-US" w:eastAsia="en-US" w:bidi="en-US"/>
        </w:rPr>
        <w:t xml:space="preserve">, com equipamentos, instalações e equipe de profissionais ou corpo técnico para a execução do objeto </w:t>
      </w:r>
      <w:r>
        <w:rPr>
          <w:rFonts w:ascii="Liberation Serif" w:hAnsi="Liberation Serif" w:eastAsia="DejaVu Sans" w:cs="DejaVu Sans"/>
          <w:b/>
          <w:bCs/>
          <w:i/>
          <w:iCs/>
          <w:color w:val="000000"/>
          <w:lang w:val="en-US" w:eastAsia="en-US" w:bidi="en-US"/>
        </w:rPr>
        <w:t>incompatíveis com a natureza profissional da pessoa física</w:t>
      </w:r>
      <w:r>
        <w:rPr>
          <w:rFonts w:ascii="Liberation Serif" w:hAnsi="Liberation Serif" w:eastAsia="DejaVu Sans" w:cs="DejaVu Sans"/>
          <w:i/>
          <w:iCs/>
          <w:color w:val="000000"/>
          <w:lang w:val="en-US" w:eastAsia="en-US" w:bidi="en-US"/>
        </w:rPr>
        <w:t xml:space="preserve">, conforme </w:t>
      </w:r>
      <w:r>
        <w:rPr>
          <w:rFonts w:ascii="Liberation Serif" w:hAnsi="Liberation Serif" w:eastAsia="DejaVu Sans" w:cs="DejaVu Sans"/>
          <w:b/>
          <w:bCs/>
          <w:i/>
          <w:iCs/>
          <w:color w:val="000000"/>
          <w:lang w:val="en-US" w:eastAsia="en-US" w:bidi="en-US"/>
        </w:rPr>
        <w:t>demonstrado em estudo técnico preliminar</w:t>
      </w:r>
      <w:r>
        <w:rPr>
          <w:rFonts w:ascii="Liberation Serif" w:hAnsi="Liberation Serif" w:eastAsia="DejaVu Sans"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DejaVu Sans" w:cs="DejaVu Sans"/>
          <w:i/>
          <w:iCs/>
          <w:color w:val="000000"/>
          <w:lang w:val="en-US" w:eastAsia="en-US" w:bidi="en-US"/>
        </w:rPr>
        <w:t xml:space="preserve">O </w:t>
      </w:r>
      <w:hyperlink r:id="rId19">
        <w:r>
          <w:rPr>
            <w:rFonts w:ascii="Liberation Serif" w:hAnsi="Liberation Serif" w:eastAsia="DejaVu Sans" w:cs="DejaVu Sans"/>
            <w:i/>
            <w:iCs/>
            <w:color w:val="000000"/>
            <w:lang w:val="en-US" w:eastAsia="en-US" w:bidi="en-US"/>
          </w:rPr>
          <w:t>Decreto n.º 10.977, de 23 de fevereiro de 2022,</w:t>
        </w:r>
      </w:hyperlink>
      <w:r>
        <w:rPr>
          <w:rFonts w:ascii="Liberation Serif" w:hAnsi="Liberation Serif" w:eastAsia="DejaVu Sans" w:cs="DejaVu Sans"/>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DejaVu Sans" w:cs="DejaVu Sans"/>
          <w:b/>
          <w:bCs/>
          <w:i/>
          <w:iCs/>
          <w:color w:val="000000"/>
          <w:lang w:val="en-US" w:eastAsia="en-US" w:bidi="en-US"/>
        </w:rPr>
        <w:t>caput </w:t>
      </w:r>
      <w:r>
        <w:rPr>
          <w:rFonts w:ascii="Liberation Serif" w:hAnsi="Liberation Serif" w:eastAsia="DejaVu Sans" w:cs="DejaVu Sans"/>
          <w:i/>
          <w:iCs/>
          <w:color w:val="000000"/>
          <w:lang w:val="en-US" w:eastAsia="en-US" w:bidi="en-US"/>
        </w:rPr>
        <w:t>do seu art. 11.</w:t>
      </w:r>
    </w:p>
  </w:comment>
  <w:comment w:id="23"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w:t>
      </w:r>
      <w:hyperlink r:id="rId20">
        <w:r>
          <w:rPr>
            <w:rFonts w:ascii="Liberation Serif" w:hAnsi="Liberation Serif" w:eastAsia="DejaVu Sans" w:cs="DejaVu Sans"/>
            <w:i/>
            <w:iCs/>
            <w:color w:val="000000"/>
            <w:lang w:val="en-US" w:eastAsia="en-US" w:bidi="en-US"/>
          </w:rPr>
          <w:t>art. 41 da Lei nº 14.195, de 26 de agosto de 2021</w:t>
        </w:r>
      </w:hyperlink>
      <w:r>
        <w:rPr>
          <w:rFonts w:ascii="Liberation Serif" w:hAnsi="Liberation Serif" w:eastAsia="DejaVu Sans" w:cs="DejaVu Sans"/>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r>
        <w:rPr>
          <w:rFonts w:ascii="Liberation Serif" w:hAnsi="Liberation Serif" w:eastAsia="DejaVu Sans" w:cs="DejaVu Sans"/>
          <w:i/>
          <w:iCs/>
          <w:color w:val="000000"/>
          <w:lang w:val="en-US" w:eastAsia="en-US" w:bidi="en-US"/>
        </w:rPr>
        <w:t xml:space="preserve">Posteriormente, </w:t>
      </w:r>
      <w:hyperlink r:id="rId21">
        <w:r>
          <w:rPr>
            <w:rFonts w:ascii="Liberation Serif" w:hAnsi="Liberation Serif" w:eastAsia="DejaVu Sans" w:cs="DejaVu Sans"/>
            <w:i/>
            <w:iCs/>
            <w:color w:val="000000"/>
            <w:lang w:val="en-US" w:eastAsia="en-US" w:bidi="en-US"/>
          </w:rPr>
          <w:t>o inciso VI, alíneas “a” e “b”, art. 20, da Lei nº 14.382, de 27 de junho de 2022</w:t>
        </w:r>
      </w:hyperlink>
      <w:r>
        <w:rPr>
          <w:rFonts w:ascii="Liberation Serif" w:hAnsi="Liberation Serif" w:eastAsia="DejaVu Sans" w:cs="DejaVu Sans"/>
          <w:i/>
          <w:iCs/>
          <w:color w:val="000000"/>
          <w:lang w:val="en-US" w:eastAsia="en-US" w:bidi="en-US"/>
        </w:rPr>
        <w:t>, revogou as disposições sobre EIRELI constantes do inciso VI do caput do art. 44 e do Título I-A do Livro II da Parte Especial do Código Civil (</w:t>
      </w:r>
      <w:hyperlink r:id="rId22">
        <w:r>
          <w:rPr>
            <w:rFonts w:ascii="Liberation Serif" w:hAnsi="Liberation Serif" w:eastAsia="DejaVu Sans" w:cs="DejaVu Sans"/>
            <w:i/>
            <w:iCs/>
            <w:color w:val="000000"/>
            <w:lang w:val="en-US" w:eastAsia="en-US" w:bidi="en-US"/>
          </w:rPr>
          <w:t>Lei nº 10.406, de 10 de janeiro de 2002</w:t>
        </w:r>
      </w:hyperlink>
      <w:r>
        <w:rPr>
          <w:rFonts w:ascii="Liberation Serif" w:hAnsi="Liberation Serif" w:eastAsia="DejaVu Sans" w:cs="DejaVu Sans"/>
          <w:i/>
          <w:iCs/>
          <w:color w:val="000000"/>
          <w:lang w:val="en-US" w:eastAsia="en-US" w:bidi="en-US"/>
        </w:rPr>
        <w:t>).</w:t>
      </w:r>
    </w:p>
    <w:p>
      <w:r>
        <w:rPr>
          <w:rFonts w:ascii="Liberation Serif" w:hAnsi="Liberation Serif" w:eastAsia="DejaVu Sans" w:cs="DejaVu Sans"/>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24"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artigo 193 do Código Tributário Nacional (</w:t>
      </w:r>
      <w:hyperlink r:id="rId23">
        <w:r>
          <w:rPr>
            <w:rFonts w:ascii="Liberation Serif" w:hAnsi="Liberation Serif" w:eastAsia="DejaVu Sans" w:cs="DejaVu Sans"/>
            <w:i/>
            <w:iCs/>
            <w:color w:val="000000"/>
            <w:lang w:val="en-US" w:eastAsia="en-US" w:bidi="en-US"/>
          </w:rPr>
          <w:t>Lei nº 5.172, de 25 de outubro de 1966</w:t>
        </w:r>
      </w:hyperlink>
      <w:r>
        <w:rPr>
          <w:rFonts w:ascii="Liberation Serif" w:hAnsi="Liberation Serif" w:eastAsia="DejaVu Sans" w:cs="DejaVu Sans"/>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hyperlink r:id="rId24">
        <w:r>
          <w:rPr>
            <w:rFonts w:ascii="Liberation Serif" w:hAnsi="Liberation Serif" w:eastAsia="DejaVu Sans" w:cs="DejaVu Sans"/>
            <w:i/>
            <w:iCs/>
            <w:color w:val="000000"/>
            <w:lang w:val="en-US" w:eastAsia="en-US" w:bidi="en-US"/>
          </w:rPr>
          <w:t>o art. 68, inciso II, da Lei n.º 14.133, de 2021</w:t>
        </w:r>
      </w:hyperlink>
      <w:r>
        <w:rPr>
          <w:rFonts w:ascii="Liberation Serif" w:hAnsi="Liberation Serif" w:eastAsia="DejaVu Sans" w:cs="DejaVu Sans"/>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25" w:author="Autor" w:date="1901-01-01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apresentação do Certificado de Condição de Microempreendedor Individual – CCMEI supre as exigências de inscrição nos cadastros fiscais, na medida em que essas informações constam no próprio Certificado.</w:t>
      </w:r>
    </w:p>
  </w:comment>
  <w:comment w:id="26" w:author="Autor" w:date="1901-01-01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Em se tratando de contratação direta não precedida de dispensa eletrônica, os aspectos da habilitação da empresa, sobretudo os ligados à qualificação técnica e econômica, podem estar discriminados no processo administrativo, ao se motivar a escolha do fornecedor, caso em que não precisam constar do Termo de Referência.</w:t>
      </w:r>
    </w:p>
    <w:p>
      <w:r>
        <w:rPr>
          <w:rFonts w:eastAsia="DejaVu Sans" w:cs="DejaVu Sans" w:ascii="Liberation Serif" w:hAnsi="Liberation Serif"/>
          <w:b/>
          <w:bCs/>
          <w:i/>
          <w:iCs/>
          <w:color w:val="000000"/>
          <w:lang w:val="en-US" w:eastAsia="en-US" w:bidi="en-US"/>
        </w:rPr>
        <w:t xml:space="preserve">Nota Explicativa 2: </w:t>
      </w:r>
      <w:r>
        <w:rPr>
          <w:rFonts w:eastAsia="DejaVu Sans" w:cs="DejaVu Sans" w:ascii="Liberation Serif" w:hAnsi="Liberation Serif"/>
          <w:i/>
          <w:iCs/>
          <w:color w:val="000000"/>
          <w:lang w:val="en-US" w:eastAsia="en-US" w:bidi="en-US"/>
        </w:rPr>
        <w:t xml:space="preserve">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w:t>
      </w:r>
      <w:r>
        <w:rPr>
          <w:rFonts w:eastAsia="DejaVu Sans" w:cs="DejaVu Sans" w:ascii="Liberation Serif" w:hAnsi="Liberation Serif"/>
          <w:lang w:val="en-US" w:eastAsia="en-US" w:bidi="en-US"/>
        </w:rPr>
        <w:t>documento</w:t>
      </w:r>
      <w:r>
        <w:rPr>
          <w:rFonts w:eastAsia="DejaVu Sans" w:cs="DejaVu Sans" w:ascii="Liberation Serif" w:hAnsi="Liberation Serif"/>
          <w:i/>
          <w:iCs/>
          <w:color w:val="000000"/>
          <w:lang w:val="en-US" w:eastAsia="en-US" w:bidi="en-US"/>
        </w:rPr>
        <w:t xml:space="preserve">. Conforme Nota Explicativa do início deste tópico, a exigência de qualificação técnica e econômica nas circunstâncias previstas no art. 70, III da </w:t>
      </w:r>
      <w:hyperlink r:id="rId25">
        <w:r>
          <w:rPr>
            <w:rFonts w:eastAsia="DejaVu Sans" w:cs="DejaVu Sans" w:ascii="Liberation Serif" w:hAnsi="Liberation Serif"/>
            <w:i/>
            <w:iCs/>
            <w:color w:val="000000"/>
            <w:lang w:val="en-US" w:eastAsia="en-US" w:bidi="en-US"/>
          </w:rPr>
          <w:t>Lei n.º 14.133, de 2021</w:t>
        </w:r>
      </w:hyperlink>
      <w:r>
        <w:rPr>
          <w:rFonts w:eastAsia="DejaVu Sans" w:cs="DejaVu Sans" w:ascii="Liberation Serif" w:hAnsi="Liberation Serif"/>
          <w:i/>
          <w:iCs/>
          <w:color w:val="000000"/>
          <w:lang w:val="en-US" w:eastAsia="en-US" w:bidi="en-US"/>
        </w:rPr>
        <w:t xml:space="preserve">, deve ser excepcional e justificada, à luz do </w:t>
      </w:r>
      <w:hyperlink r:id="rId26">
        <w:r>
          <w:rPr>
            <w:rFonts w:eastAsia="DejaVu Sans" w:cs="DejaVu Sans" w:ascii="Liberation Serif" w:hAnsi="Liberation Serif"/>
            <w:i/>
            <w:iCs/>
            <w:color w:val="000000"/>
            <w:lang w:val="en-US" w:eastAsia="en-US" w:bidi="en-US"/>
          </w:rPr>
          <w:t>art. 37, XXI, da Constituição Federal</w:t>
        </w:r>
      </w:hyperlink>
      <w:r>
        <w:rPr>
          <w:rFonts w:eastAsia="DejaVu Sans" w:cs="DejaVu Sans" w:ascii="Liberation Serif" w:hAnsi="Liberation Serif"/>
          <w:i/>
          <w:iCs/>
          <w:color w:val="000000"/>
          <w:lang w:val="en-US" w:eastAsia="en-US" w:bidi="en-US"/>
        </w:rPr>
        <w:t>.</w:t>
      </w:r>
    </w:p>
    <w:p>
      <w:r>
        <w:rPr>
          <w:rFonts w:ascii="Liberation Serif" w:hAnsi="Liberation Serif" w:eastAsia="DejaVu Sans" w:cs="DejaVu Sans"/>
          <w:b/>
          <w:bCs/>
          <w:i/>
          <w:iCs/>
          <w:color w:val="000000"/>
          <w:lang w:val="en-US" w:eastAsia="en-US" w:bidi="en-US"/>
        </w:rPr>
        <w:t>Nota Explicativa 3:</w:t>
      </w:r>
      <w:r>
        <w:rPr>
          <w:rFonts w:ascii="Liberation Serif" w:hAnsi="Liberation Serif" w:eastAsia="DejaVu Sans" w:cs="DejaVu Sans"/>
          <w:i/>
          <w:iCs/>
          <w:color w:val="000000"/>
          <w:lang w:val="en-US" w:eastAsia="en-US" w:bidi="en-US"/>
        </w:rPr>
        <w:t xml:space="preserve"> É possível adotar critérios de habilitação econômico-financeira com requisitos diferenciados, estabelecidos conforme as peculiaridades do objeto a ser </w:t>
      </w:r>
      <w:r>
        <w:rPr>
          <w:rFonts w:ascii="Liberation Serif" w:hAnsi="Liberation Serif" w:eastAsia="DejaVu Sans" w:cs="DejaVu Sans"/>
          <w:lang w:val="en-US" w:eastAsia="en-US" w:bidi="en-US"/>
        </w:rPr>
        <w:t>contratada</w:t>
      </w:r>
      <w:r>
        <w:rPr>
          <w:rFonts w:ascii="Liberation Serif" w:hAnsi="Liberation Serif" w:eastAsia="DejaVu Sans" w:cs="DejaVu Sans"/>
          <w:i/>
          <w:iCs/>
          <w:color w:val="000000"/>
          <w:lang w:val="en-US" w:eastAsia="en-US" w:bidi="en-US"/>
        </w:rPr>
        <w:t xml:space="preserve">, com justificativa do percentual adotado nos autos do </w:t>
      </w:r>
      <w:r>
        <w:rPr>
          <w:rFonts w:ascii="Liberation Serif" w:hAnsi="Liberation Serif" w:eastAsia="DejaVu Sans" w:cs="DejaVu Sans"/>
          <w:lang w:val="en-US" w:eastAsia="en-US" w:bidi="en-US"/>
        </w:rPr>
        <w:t>processo</w:t>
      </w:r>
      <w:r>
        <w:rPr>
          <w:rFonts w:ascii="Liberation Serif" w:hAnsi="Liberation Serif" w:eastAsia="DejaVu Sans" w:cs="DejaVu Sans"/>
          <w:i/>
          <w:iCs/>
          <w:color w:val="000000"/>
          <w:lang w:val="en-US" w:eastAsia="en-US" w:bidi="en-US"/>
        </w:rPr>
        <w:t>.</w:t>
      </w:r>
    </w:p>
  </w:comment>
  <w:comment w:id="27" w:author="Autor" w:date="1901-01-01T00:00:00Z" w:initials="A">
    <w:p>
      <w:r>
        <w:rPr>
          <w:rFonts w:ascii="Liberation Serif" w:hAnsi="Liberation Serif" w:eastAsia="DejaVu Sans" w:cs="DejaVu Sans"/>
          <w:lang w:val="en-US" w:eastAsia="en-US" w:bidi="en-US"/>
        </w:rPr>
        <w:t>Nota Explicativa: Conforme o §4º do art. 16 da Instrução Normativa SEGES/MP nº 3, de 2018</w:t>
      </w:r>
    </w:p>
  </w:comment>
  <w:comment w:id="28" w:author="Autor" w:date="1901-01-01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r>
        <w:rPr>
          <w:rFonts w:ascii="Liberation Serif" w:hAnsi="Liberation Serif" w:eastAsia="DejaVu Sans" w:cs="DejaVu Sans"/>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29" w:author="Autor" w:date="1901-01-01T00:00:00Z" w:initials="A">
    <w:p>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lang w:val="en-US" w:eastAsia="en-US" w:bidi="en-US"/>
        </w:rPr>
        <w:t>Em se tratando de contratação direta não precedida de dispensa eletrônica, os critérios de habilitação, notadamente os de qualificação econômica e técnica, podem estar apontados no processo, na motivação para a escolha do fornecedor, caso em que poderão ser suprimidos do TR.</w:t>
      </w:r>
      <w:r>
        <w:rPr>
          <w:rFonts w:ascii="Liberation Serif" w:hAnsi="Liberation Serif" w:eastAsia="DejaVu Sans" w:cs="DejaVu Sans"/>
          <w:i/>
          <w:iCs/>
          <w:color w:val="000000"/>
          <w:lang w:val="en-US" w:eastAsia="en-US" w:bidi="en-US"/>
        </w:rPr>
        <w:t xml:space="preserve"> </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O </w:t>
      </w:r>
      <w:hyperlink r:id="rId27">
        <w:r>
          <w:rPr>
            <w:rFonts w:ascii="Liberation Serif" w:hAnsi="Liberation Serif" w:eastAsia="DejaVu Sans" w:cs="DejaVu Sans"/>
            <w:i/>
            <w:iCs/>
            <w:color w:val="000000"/>
            <w:lang w:val="en-US" w:eastAsia="en-US" w:bidi="en-US"/>
          </w:rPr>
          <w:t>art. 67 da Lei nº 14.133, de 2021</w:t>
        </w:r>
      </w:hyperlink>
      <w:r>
        <w:rPr>
          <w:rFonts w:ascii="Liberation Serif" w:hAnsi="Liberation Serif" w:eastAsia="DejaVu Sans" w:cs="DejaVu Sans"/>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hyperlink r:id="rId28">
        <w:r>
          <w:rPr>
            <w:rFonts w:ascii="Liberation Serif" w:hAnsi="Liberation Serif" w:eastAsia="DejaVu Sans" w:cs="DejaVu Sans"/>
            <w:i/>
            <w:iCs/>
            <w:color w:val="000000"/>
            <w:lang w:val="en-US" w:eastAsia="en-US" w:bidi="en-US"/>
          </w:rPr>
          <w:t>artigo 37, inciso XXI, da Constituição Federal</w:t>
        </w:r>
      </w:hyperlink>
      <w:r>
        <w:rPr>
          <w:rFonts w:ascii="Liberation Serif" w:hAnsi="Liberation Serif" w:eastAsia="DejaVu Sans" w:cs="DejaVu Sans"/>
          <w:i/>
          <w:iCs/>
          <w:color w:val="000000"/>
          <w:lang w:val="en-US" w:eastAsia="en-US" w:bidi="en-US"/>
        </w:rPr>
        <w:t xml:space="preserve">, caso verifique que a medida é indispensável à garantia do cumprimento das obrigações pertinentes à execução do objeto. </w:t>
      </w:r>
    </w:p>
    <w:p>
      <w:r>
        <w:rPr>
          <w:rFonts w:ascii="Liberation Serif" w:hAnsi="Liberation Serif" w:eastAsia="DejaVu Sans" w:cs="DejaVu Sans"/>
          <w:i/>
          <w:iCs/>
          <w:color w:val="000000"/>
          <w:lang w:val="en-US" w:eastAsia="en-US" w:bidi="en-US"/>
        </w:rPr>
        <w:t xml:space="preserve">Para tanto, recomenda-se que a Administração se utilize da interpretação extensiva das regras, limites e princípios que incidem em relação à prova de qualificação técnica dos </w:t>
      </w:r>
      <w:r>
        <w:rPr>
          <w:rFonts w:ascii="Liberation Serif" w:hAnsi="Liberation Serif" w:eastAsia="DejaVu Sans" w:cs="DejaVu Sans"/>
          <w:lang w:val="en-US" w:eastAsia="en-US" w:bidi="en-US"/>
        </w:rPr>
        <w:t>interessados</w:t>
      </w:r>
      <w:r>
        <w:rPr>
          <w:rFonts w:ascii="Liberation Serif" w:hAnsi="Liberation Serif" w:eastAsia="DejaVu Sans" w:cs="DejaVu Sans"/>
          <w:i/>
          <w:iCs/>
          <w:color w:val="000000"/>
          <w:lang w:val="en-US" w:eastAsia="en-US" w:bidi="en-US"/>
        </w:rPr>
        <w:t xml:space="preserve"> na contratação de serviços, observadas as peculiaridades das compras em cada caso concreto.</w:t>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r>
        <w:rPr>
          <w:rFonts w:ascii="Liberation Serif" w:hAnsi="Liberation Serif" w:eastAsia="DejaVu Sans" w:cs="DejaVu Sans"/>
          <w:b/>
          <w:bCs/>
          <w:i/>
          <w:iCs/>
          <w:color w:val="000000"/>
          <w:lang w:val="en-US" w:eastAsia="en-US" w:bidi="en-US"/>
        </w:rPr>
        <w:t>Nota Explicativa 4</w:t>
      </w:r>
      <w:r>
        <w:rPr>
          <w:rFonts w:ascii="Liberation Serif" w:hAnsi="Liberation Serif" w:eastAsia="DejaVu Sans" w:cs="DejaVu Sans"/>
          <w:i/>
          <w:iCs/>
          <w:color w:val="000000"/>
          <w:lang w:val="en-US" w:eastAsia="en-US" w:bidi="en-US"/>
        </w:rPr>
        <w:t xml:space="preserve">: Em relação pessoa física ou jurídica que se caracterize como “potencial subcontratado”, é possível a previsão de exigência de atestados específicos, situação na qual mais de um </w:t>
      </w:r>
      <w:r>
        <w:rPr>
          <w:rFonts w:ascii="Liberation Serif" w:hAnsi="Liberation Serif" w:eastAsia="DejaVu Sans" w:cs="DejaVu Sans"/>
          <w:lang w:val="en-US" w:eastAsia="en-US" w:bidi="en-US"/>
        </w:rPr>
        <w:t>interessado</w:t>
      </w:r>
      <w:r>
        <w:rPr>
          <w:rFonts w:ascii="Liberation Serif" w:hAnsi="Liberation Serif" w:eastAsia="DejaVu Sans" w:cs="DejaVu Sans"/>
          <w:i/>
          <w:iCs/>
          <w:color w:val="000000"/>
          <w:lang w:val="en-US" w:eastAsia="en-US" w:bidi="en-US"/>
        </w:rPr>
        <w:t xml:space="preserve"> poderá apresentar atestado relativo ao mesmo potencial subcontratado. Nesse sentido é o teor do § 9º do art. 67 da Lei nº 14.133, de 2021:</w:t>
      </w:r>
    </w:p>
    <w:p>
      <w:r>
        <w:rPr>
          <w:rFonts w:ascii="Liberation Serif" w:hAnsi="Liberation Serif" w:eastAsia="DejaVu Sans" w:cs="DejaVu Sans"/>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30" w:author="Autor" w:date="1901-01-01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 xml:space="preserve">Pesquisa de Preços - A estimativa de preços deve ser precedida de regular pesquisa, nos moldes do </w:t>
      </w:r>
      <w:hyperlink r:id="rId29">
        <w:r>
          <w:rPr>
            <w:rFonts w:ascii="Liberation Serif" w:hAnsi="Liberation Serif" w:eastAsia="DejaVu Sans" w:cs="DejaVu Sans"/>
            <w:i/>
            <w:iCs/>
            <w:color w:val="000000"/>
            <w:lang w:val="en-US" w:eastAsia="en-US" w:bidi="en-US"/>
          </w:rPr>
          <w:t>art. 23 da Lei nº 14.133, de 2021</w:t>
        </w:r>
      </w:hyperlink>
      <w:r>
        <w:rPr>
          <w:rFonts w:ascii="Liberation Serif" w:hAnsi="Liberation Serif" w:eastAsia="DejaVu Sans" w:cs="DejaVu Sans"/>
          <w:i/>
          <w:iCs/>
          <w:color w:val="000000"/>
          <w:lang w:val="en-US" w:eastAsia="en-US" w:bidi="en-US"/>
        </w:rPr>
        <w:t xml:space="preserve">, e da </w:t>
      </w:r>
      <w:hyperlink r:id="rId30">
        <w:r>
          <w:rPr>
            <w:rFonts w:ascii="Liberation Serif" w:hAnsi="Liberation Serif" w:eastAsia="DejaVu Sans" w:cs="DejaVu Sans"/>
            <w:i/>
            <w:iCs/>
            <w:color w:val="000000"/>
            <w:lang w:val="en-US" w:eastAsia="en-US" w:bidi="en-US"/>
          </w:rPr>
          <w:t>Instrução Normativa SEGES/ME nº 65, de 7 de julho 2021.</w:t>
        </w:r>
      </w:hyperlink>
    </w:p>
    <w:p>
      <w:r>
        <w:rPr>
          <w:rFonts w:ascii="Liberation Serif" w:hAnsi="Liberation Serif" w:eastAsia="DejaVu Sans" w:cs="DejaVu Sans"/>
          <w:b/>
          <w:bCs/>
          <w:i/>
          <w:iCs/>
          <w:lang w:val="en-US" w:eastAsia="en-US" w:bidi="en-US"/>
        </w:rPr>
        <w:t>Nota Explicativa 2:</w:t>
      </w:r>
      <w:r>
        <w:rPr>
          <w:rFonts w:ascii="Liberation Serif" w:hAnsi="Liberation Serif" w:eastAsia="DejaVu Sans" w:cs="DejaVu Sans"/>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hAnsi="Liberation Serif" w:eastAsia="DejaVu Sans" w:cs="DejaVu Sans"/>
          <w:i/>
          <w:iCs/>
          <w:color w:val="FF0000"/>
          <w:lang w:val="en-US" w:eastAsia="en-US" w:bidi="en-US"/>
        </w:rPr>
        <w:t xml:space="preserve"> </w:t>
      </w:r>
      <w:r>
        <w:rPr>
          <w:rFonts w:ascii="Liberation Serif" w:hAnsi="Liberation Serif" w:eastAsia="DejaVu Sans" w:cs="DejaVu Sans"/>
          <w:i/>
          <w:iCs/>
          <w:lang w:val="en-US" w:eastAsia="en-US" w:bidi="en-US"/>
        </w:rPr>
        <w:t xml:space="preserve">nos termos do </w:t>
      </w:r>
      <w:hyperlink r:id="rId31">
        <w:r>
          <w:rPr>
            <w:rFonts w:ascii="Liberation Serif" w:hAnsi="Liberation Serif" w:eastAsia="DejaVu Sans" w:cs="DejaVu Sans"/>
            <w:i/>
            <w:iCs/>
            <w:lang w:val="en-US" w:eastAsia="en-US" w:bidi="en-US"/>
          </w:rPr>
          <w:t>art. 9º, IX, da Instrução Normativa Seges/ME nº 81, de 2022</w:t>
        </w:r>
      </w:hyperlink>
      <w:r>
        <w:rPr>
          <w:rFonts w:ascii="Liberation Serif" w:hAnsi="Liberation Serif" w:eastAsia="DejaVu Sans" w:cs="DejaVu Sans"/>
          <w:i/>
          <w:iCs/>
          <w:lang w:val="en-US" w:eastAsia="en-US" w:bidi="en-US"/>
        </w:rPr>
        <w:t xml:space="preserve">. Caso a Administração opte por preservar o sigilo da estimativa do valor da contratação, também deverá ser preservado o sigilo desse anexo. </w:t>
      </w:r>
    </w:p>
    <w:p>
      <w:r>
        <w:rPr>
          <w:rFonts w:ascii="Liberation Serif" w:hAnsi="Liberation Serif" w:eastAsia="DejaVu Sans" w:cs="DejaVu Sans"/>
          <w:b/>
          <w:bCs/>
          <w:i/>
          <w:iCs/>
          <w:lang w:val="en-US" w:eastAsia="en-US" w:bidi="en-US"/>
        </w:rPr>
        <w:t xml:space="preserve">Nota Explicativa 3: </w:t>
      </w:r>
      <w:r>
        <w:rPr>
          <w:rFonts w:ascii="Liberation Serif" w:hAnsi="Liberation Serif" w:eastAsia="DejaVu Sans" w:cs="DejaVu Sans"/>
          <w:i/>
          <w:iCs/>
          <w:lang w:val="en-US" w:eastAsia="en-US" w:bidi="en-US"/>
        </w:rPr>
        <w:t>Utilizar a redação do item 9.1 na hipótese em que for adotado o critério de julgamento por menor preço, sem caráter sigiloso.</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Carlito">
    <w:altName w:val="Calibri"/>
    <w:charset w:val="01"/>
    <w:family w:val="roman"/>
    <w:pitch w:val="variable"/>
  </w:font>
  <w:font w:name="Liberation Sans">
    <w:altName w:val="Arial"/>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59332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tabs>
            <w:tab w:val="clear" w:pos="8504"/>
            <w:tab w:val="center" w:pos="4252" w:leader="none"/>
            <w:tab w:val="right" w:pos="9354" w:leader="none"/>
          </w:tabs>
          <w:rPr>
            <w:rFonts w:ascii="Arial" w:hAnsi="Arial" w:cs="Arial"/>
            <w:color w:val="7F7F7F" w:themeColor="text1" w:themeTint="80"/>
            <w:sz w:val="12"/>
          </w:rPr>
        </w:pPr>
        <w:r>
          <w:rPr>
            <w:color w:val="7F7F7F" w:themeColor="text1" w:themeTint="80"/>
            <w:spacing w:val="60"/>
            <w:sz w:val="22"/>
            <w:szCs w:val="22"/>
          </w:rPr>
          <w:tab/>
          <w:tab/>
        </w:r>
        <w:r>
          <w:rPr>
            <w:rFonts w:ascii="Carlito" w:hAnsi="Carlito"/>
            <w:color w:val="595959" w:themeColor="text1" w:themeTint="a6"/>
            <w:spacing w:val="60"/>
          </w:rPr>
          <w:t>Página</w:t>
        </w:r>
        <w:r>
          <w:rPr>
            <w:rFonts w:ascii="Carlito" w:hAnsi="Carlito"/>
            <w:color w:val="595959" w:themeColor="text1" w:themeTint="a6"/>
          </w:rPr>
          <w:t xml:space="preserve"> </w:t>
        </w:r>
        <w:r>
          <w:rPr>
            <w:rFonts w:ascii="Carlito" w:hAnsi="Carlito"/>
            <w:color w:val="595959"/>
            <w:shd w:fill="E6E6E6" w:val="clear"/>
          </w:rPr>
          <w:fldChar w:fldCharType="begin"/>
        </w:r>
        <w:r>
          <w:rPr>
            <w:shd w:fill="E6E6E6" w:val="clear"/>
            <w:rFonts w:ascii="Carlito" w:hAnsi="Carlito"/>
            <w:color w:val="595959"/>
          </w:rPr>
          <w:instrText xml:space="preserve"> PAGE </w:instrText>
        </w:r>
        <w:r>
          <w:rPr>
            <w:shd w:fill="E6E6E6" w:val="clear"/>
            <w:rFonts w:ascii="Carlito" w:hAnsi="Carlito"/>
            <w:color w:val="595959"/>
          </w:rPr>
          <w:fldChar w:fldCharType="separate"/>
        </w:r>
        <w:r>
          <w:rPr>
            <w:shd w:fill="E6E6E6" w:val="clear"/>
            <w:rFonts w:ascii="Carlito" w:hAnsi="Carlito"/>
            <w:color w:val="595959"/>
          </w:rPr>
          <w:t>16</w:t>
        </w:r>
        <w:r>
          <w:rPr>
            <w:shd w:fill="E6E6E6" w:val="clear"/>
            <w:rFonts w:ascii="Carlito" w:hAnsi="Carlito"/>
            <w:color w:val="595959"/>
          </w:rPr>
          <w:fldChar w:fldCharType="end"/>
        </w:r>
        <w:r>
          <w:rPr>
            <w:rFonts w:ascii="Carlito" w:hAnsi="Carlito"/>
            <w:color w:val="595959" w:themeColor="text1" w:themeTint="a6"/>
          </w:rPr>
          <w:t xml:space="preserve"> | </w:t>
        </w:r>
        <w:r>
          <w:rPr>
            <w:rFonts w:ascii="Carlito" w:hAnsi="Carlito"/>
            <w:color w:val="595959"/>
            <w:shd w:fill="E6E6E6" w:val="clear"/>
          </w:rPr>
          <w:fldChar w:fldCharType="begin"/>
        </w:r>
        <w:r>
          <w:rPr>
            <w:shd w:fill="E6E6E6" w:val="clear"/>
            <w:rFonts w:ascii="Carlito" w:hAnsi="Carlito"/>
            <w:color w:val="595959"/>
          </w:rPr>
          <w:instrText xml:space="preserve"> NUMPAGES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 xml:space="preserve">Atualização: </w:t>
        </w:r>
        <w:r>
          <w:rPr>
            <w:rFonts w:cs="Arial" w:ascii="Rawline" w:hAnsi="Rawline"/>
            <w:b/>
            <w:bCs/>
            <w:sz w:val="12"/>
          </w:rPr>
          <w:t>Dezembro/2023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Contratação Direta</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2229376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tabs>
            <w:tab w:val="clear" w:pos="8504"/>
            <w:tab w:val="center" w:pos="4252" w:leader="none"/>
            <w:tab w:val="right" w:pos="9354" w:leader="none"/>
          </w:tabs>
          <w:rPr>
            <w:rFonts w:ascii="Arial" w:hAnsi="Arial" w:cs="Arial"/>
            <w:color w:val="7F7F7F" w:themeColor="text1" w:themeTint="80"/>
            <w:sz w:val="12"/>
          </w:rPr>
        </w:pPr>
        <w:r>
          <w:rPr>
            <w:color w:val="7F7F7F" w:themeColor="text1" w:themeTint="80"/>
            <w:spacing w:val="60"/>
            <w:sz w:val="22"/>
            <w:szCs w:val="22"/>
          </w:rPr>
          <w:tab/>
          <w:tab/>
        </w:r>
        <w:r>
          <w:rPr>
            <w:rFonts w:ascii="Carlito" w:hAnsi="Carlito"/>
            <w:color w:val="595959" w:themeColor="text1" w:themeTint="a6"/>
            <w:spacing w:val="60"/>
          </w:rPr>
          <w:t>Página</w:t>
        </w:r>
        <w:r>
          <w:rPr>
            <w:rFonts w:ascii="Carlito" w:hAnsi="Carlito"/>
            <w:color w:val="595959" w:themeColor="text1" w:themeTint="a6"/>
          </w:rPr>
          <w:t xml:space="preserve"> </w:t>
        </w:r>
        <w:r>
          <w:rPr>
            <w:rFonts w:ascii="Carlito" w:hAnsi="Carlito"/>
            <w:color w:val="595959"/>
            <w:shd w:fill="E6E6E6" w:val="clear"/>
          </w:rPr>
          <w:fldChar w:fldCharType="begin"/>
        </w:r>
        <w:r>
          <w:rPr>
            <w:shd w:fill="E6E6E6" w:val="clear"/>
            <w:rFonts w:ascii="Carlito" w:hAnsi="Carlito"/>
            <w:color w:val="595959"/>
          </w:rPr>
          <w:instrText xml:space="preserve"> PAGE </w:instrText>
        </w:r>
        <w:r>
          <w:rPr>
            <w:shd w:fill="E6E6E6" w:val="clear"/>
            <w:rFonts w:ascii="Carlito" w:hAnsi="Carlito"/>
            <w:color w:val="595959"/>
          </w:rPr>
          <w:fldChar w:fldCharType="separate"/>
        </w:r>
        <w:r>
          <w:rPr>
            <w:shd w:fill="E6E6E6" w:val="clear"/>
            <w:rFonts w:ascii="Carlito" w:hAnsi="Carlito"/>
            <w:color w:val="595959"/>
          </w:rPr>
          <w:t>16</w:t>
        </w:r>
        <w:r>
          <w:rPr>
            <w:shd w:fill="E6E6E6" w:val="clear"/>
            <w:rFonts w:ascii="Carlito" w:hAnsi="Carlito"/>
            <w:color w:val="595959"/>
          </w:rPr>
          <w:fldChar w:fldCharType="end"/>
        </w:r>
        <w:r>
          <w:rPr>
            <w:rFonts w:ascii="Carlito" w:hAnsi="Carlito"/>
            <w:color w:val="595959" w:themeColor="text1" w:themeTint="a6"/>
          </w:rPr>
          <w:t xml:space="preserve"> | </w:t>
        </w:r>
        <w:r>
          <w:rPr>
            <w:rFonts w:ascii="Carlito" w:hAnsi="Carlito"/>
            <w:color w:val="595959"/>
            <w:shd w:fill="E6E6E6" w:val="clear"/>
          </w:rPr>
          <w:fldChar w:fldCharType="begin"/>
        </w:r>
        <w:r>
          <w:rPr>
            <w:shd w:fill="E6E6E6" w:val="clear"/>
            <w:rFonts w:ascii="Carlito" w:hAnsi="Carlito"/>
            <w:color w:val="595959"/>
          </w:rPr>
          <w:instrText xml:space="preserve"> NUMPAGES </w:instrText>
        </w:r>
        <w:r>
          <w:rPr>
            <w:shd w:fill="E6E6E6" w:val="clear"/>
            <w:rFonts w:ascii="Carlito" w:hAnsi="Carlito"/>
            <w:color w:val="595959"/>
          </w:rPr>
          <w:fldChar w:fldCharType="separate"/>
        </w:r>
        <w:r>
          <w:rPr>
            <w:shd w:fill="E6E6E6" w:val="clear"/>
            <w:rFonts w:ascii="Carlito" w:hAnsi="Carlito"/>
            <w:color w:val="595959"/>
          </w:rPr>
          <w:t>17</w:t>
        </w:r>
        <w:r>
          <w:rPr>
            <w:shd w:fill="E6E6E6" w:val="clear"/>
            <w:rFonts w:ascii="Carlito" w:hAnsi="Carlito"/>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 xml:space="preserve">Atualização: </w:t>
        </w:r>
        <w:r>
          <w:rPr>
            <w:rFonts w:cs="Arial" w:ascii="Rawline" w:hAnsi="Rawline"/>
            <w:b/>
            <w:bCs/>
            <w:sz w:val="12"/>
          </w:rPr>
          <w:t>Dezembro/2023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Contratação Direta</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Carlito" w:hAnsi="Carlito" w:cs="Arial"/>
      </w:rPr>
    </w:pPr>
    <w:r>
      <w:rPr>
        <w:rFonts w:cs="Arial" w:ascii="Carlito" w:hAnsi="Carlito"/>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Carlito" w:hAnsi="Carlito" w:cs="Arial"/>
      </w:rPr>
    </w:pPr>
    <w:r>
      <w:rPr>
        <w:rFonts w:cs="Arial" w:ascii="Carlito" w:hAnsi="Carlito"/>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7" w:hanging="567"/>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upperRoman"/>
      <w:lvlText w:val="%1)"/>
      <w:lvlJc w:val="left"/>
      <w:pPr>
        <w:tabs>
          <w:tab w:val="num" w:pos="0"/>
        </w:tabs>
        <w:ind w:left="2136" w:hanging="720"/>
      </w:pPr>
      <w:rPr>
        <w:sz w:val="24"/>
        <w:b/>
        <w:szCs w:val="24"/>
        <w:bCs/>
        <w:rFonts w:ascii="Carlito" w:hAnsi="Carlito"/>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567" w:hanging="567"/>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567" w:hanging="567"/>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567" w:hanging="567"/>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sz w:val="24"/>
        <w:b/>
        <w:szCs w:val="24"/>
        <w:rFonts w:ascii="Carlito" w:hAnsi="Carlito"/>
      </w:rPr>
    </w:lvl>
    <w:lvl w:ilvl="1">
      <w:start w:val="1"/>
      <w:numFmt w:val="decimal"/>
      <w:lvlText w:val="%1.%2."/>
      <w:lvlJc w:val="left"/>
      <w:pPr>
        <w:tabs>
          <w:tab w:val="num" w:pos="0"/>
        </w:tabs>
        <w:ind w:left="1417" w:hanging="850"/>
      </w:pPr>
      <w:rPr>
        <w:dstrike w:val="false"/>
        <w:strike w:val="false"/>
        <w:sz w:val="20"/>
        <w:i w:val="false"/>
        <w:u w:val="none"/>
        <w:b w:val="false"/>
        <w:szCs w:val="20"/>
        <w:color w:val="auto"/>
      </w:rPr>
    </w:lvl>
    <w:lvl w:ilvl="2">
      <w:start w:val="1"/>
      <w:numFmt w:val="decimal"/>
      <w:lvlText w:val="%1.%2.%3."/>
      <w:lvlJc w:val="left"/>
      <w:pPr>
        <w:tabs>
          <w:tab w:val="num" w:pos="0"/>
        </w:tabs>
        <w:ind w:left="2268" w:hanging="851"/>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39">
    <w:abstractNumId w:val="1"/>
  </w:num>
  <w:num w:numId="140">
    <w:abstractNumId w:val="1"/>
  </w:num>
  <w:num w:numId="141">
    <w:abstractNumId w:val="1"/>
  </w:num>
  <w:num w:numId="14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4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5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6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7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8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19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0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1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2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3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8">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49">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0">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1">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2">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3">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4">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5">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6">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 w:numId="257">
    <w:abstractNumId w:val="1"/>
    <w:lvlOverride w:ilvl="0">
      <w:lvl w:ilvl="0">
        <w:start w:val="1"/>
        <w:numFmt w:val="decimal"/>
        <w:lvlText w:val="%1."/>
        <w:lvlJc w:val="left"/>
        <w:pPr>
          <w:tabs>
            <w:tab w:val="num" w:pos="0"/>
          </w:tabs>
          <w:ind w:left="360" w:hanging="360"/>
        </w:pPr>
        <w:rPr>
          <w:sz w:val="24"/>
          <w:b/>
          <w:szCs w:val="24"/>
          <w:rFonts w:ascii="Carlito" w:hAnsi="Carli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81f44"/>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7d21e5"/>
    <w:rPr>
      <w:rFonts w:ascii="Carlito" w:hAnsi="Carlito" w:eastAsia="Arial" w:cs="Arial"/>
      <w:color w:val="000000"/>
      <w:sz w:val="24"/>
      <w:szCs w:val="24"/>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da3ef1"/>
    <w:rPr>
      <w:rFonts w:ascii="Arial" w:hAnsi="Arial" w:eastAsia="Arial" w:cs="Arial"/>
      <w:i/>
      <w:iCs/>
      <w:color w:val="FF0000"/>
      <w:sz w:val="24"/>
      <w:szCs w:val="24"/>
      <w:lang w:eastAsia="pt-BR"/>
    </w:rPr>
  </w:style>
  <w:style w:type="character" w:styleId="Nivel3Char" w:customStyle="1">
    <w:name w:val="Nivel 3 Char"/>
    <w:basedOn w:val="DefaultParagraphFont"/>
    <w:link w:val="Nivel3"/>
    <w:qFormat/>
    <w:rsid w:val="005d30b6"/>
    <w:rPr>
      <w:rFonts w:ascii="Carlito" w:hAnsi="Carlito" w:cs="Arial"/>
      <w:color w:val="000000"/>
      <w:sz w:val="24"/>
      <w:szCs w:val="24"/>
      <w:lang w:eastAsia="pt-BR"/>
    </w:rPr>
  </w:style>
  <w:style w:type="character" w:styleId="Nvel3RChar" w:customStyle="1">
    <w:name w:val="Nível 3-R Char"/>
    <w:basedOn w:val="Nivel3Char"/>
    <w:link w:val="Nvel3R"/>
    <w:qFormat/>
    <w:rsid w:val="007772a1"/>
    <w:rPr>
      <w:rFonts w:ascii="Carlito" w:hAnsi="Carlito" w:cs="Arial"/>
      <w:color w:val="000000"/>
      <w:sz w:val="24"/>
      <w:szCs w:val="24"/>
      <w:lang w:eastAsia="pt-BR"/>
    </w:rPr>
  </w:style>
  <w:style w:type="character" w:styleId="Nvel4RChar" w:customStyle="1">
    <w:name w:val="Nível 4-R Char"/>
    <w:basedOn w:val="Nivel4Char"/>
    <w:link w:val="Nvel4R"/>
    <w:qFormat/>
    <w:rsid w:val="00da3ef1"/>
    <w:rPr>
      <w:rFonts w:ascii="Arial" w:hAnsi="Arial" w:cs="Arial"/>
      <w:i/>
      <w:iCs/>
      <w:color w:val="FF0000"/>
      <w:lang w:eastAsia="pt-BR"/>
    </w:rPr>
  </w:style>
  <w:style w:type="character" w:styleId="Nvel1SemNumChar" w:customStyle="1">
    <w:name w:val="Nível 1-Sem Num Char"/>
    <w:basedOn w:val="Nivel01Char"/>
    <w:link w:val="Nvel1SemNum"/>
    <w:qFormat/>
    <w:rsid w:val="003975c4"/>
    <w:rPr>
      <w:rFonts w:ascii="Carlito" w:hAnsi="Carlito" w:eastAsia="" w:cs="Arial" w:eastAsiaTheme="majorEastAsia"/>
      <w:b/>
      <w:bCs/>
      <w:color w:val="17365D" w:themeColor="text2" w:themeShade="bf"/>
      <w:spacing w:val="5"/>
      <w:kern w:val="2"/>
      <w:sz w:val="24"/>
      <w:szCs w:val="24"/>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link w:val="Nivel3erro"/>
    <w:qFormat/>
    <w:rsid w:val="005b0afb"/>
    <w:rPr>
      <w:rFonts w:ascii="Carlito" w:hAnsi="Carlito" w:cs="Tahoma"/>
      <w:sz w:val="24"/>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o1" w:customStyle="1">
    <w:name w:val="Menção1"/>
    <w:basedOn w:val="DefaultParagraphFont"/>
    <w:uiPriority w:val="99"/>
    <w:unhideWhenUsed/>
    <w:qFormat/>
    <w:rsid w:val="002804a7"/>
    <w:rPr>
      <w:color w:val="2B579A"/>
      <w:shd w:fill="E6E6E6" w:val="clear"/>
    </w:rPr>
  </w:style>
  <w:style w:type="character" w:styleId="MenoPendente5" w:customStyle="1">
    <w:name w:val="Menção Pendente5"/>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link w:val="Nvel1SemNumPreto"/>
    <w:qFormat/>
    <w:rsid w:val="00036ad7"/>
    <w:rPr>
      <w:rFonts w:ascii="Arial" w:hAnsi="Arial" w:eastAsia="" w:cs="Arial" w:eastAsiaTheme="majorEastAsia"/>
      <w:b/>
      <w:bCs/>
      <w:color w:val="FF0000" w:themeColor="text2" w:themeShade="bf"/>
      <w:spacing w:val="5"/>
      <w:kern w:val="2"/>
      <w:sz w:val="52"/>
      <w:szCs w:val="52"/>
      <w:lang w:eastAsia="zh-CN" w:bidi="hi-IN"/>
    </w:rPr>
  </w:style>
  <w:style w:type="character" w:styleId="Fontepargpadro">
    <w:name w:val="Fonte parág. padrão"/>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Caption1">
    <w:name w:val="caption1"/>
    <w:basedOn w:val="Normal"/>
    <w:qFormat/>
    <w:pPr>
      <w:suppressLineNumbers/>
      <w:spacing w:before="120" w:after="120"/>
    </w:pPr>
    <w:rPr>
      <w:rFonts w:cs="Lohit Devanagari"/>
      <w:i/>
      <w:iC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vel2Red"/>
    <w:next w:val="Normal"/>
    <w:qFormat/>
    <w:pPr/>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customStyle="1">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clear" w:pos="708"/>
        <w:tab w:val="left" w:pos="0" w:leader="none"/>
        <w:tab w:val="left" w:pos="567" w:leader="none"/>
      </w:tabs>
      <w:spacing w:lineRule="auto" w:line="276" w:before="240" w:after="120"/>
      <w:ind w:left="567" w:hanging="0"/>
      <w:jc w:val="both"/>
      <w:outlineLvl w:val="9"/>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outlineLvl w:val="9"/>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7d21e5"/>
    <w:pPr>
      <w:tabs>
        <w:tab w:val="clear" w:pos="708"/>
        <w:tab w:val="left" w:pos="0" w:leader="none"/>
        <w:tab w:val="left" w:pos="1755" w:leader="none"/>
      </w:tabs>
      <w:spacing w:lineRule="auto" w:line="276" w:before="120" w:after="120"/>
      <w:ind w:left="1417" w:hanging="850"/>
      <w:jc w:val="both"/>
    </w:pPr>
    <w:rPr>
      <w:rFonts w:ascii="Carlito" w:hAnsi="Carlito" w:eastAsia="Arial" w:cs="Arial"/>
      <w:color w:val="000000"/>
      <w:shd w:fill="FFFFFF" w:val="clear"/>
    </w:rPr>
  </w:style>
  <w:style w:type="paragraph" w:styleId="Nivel11" w:customStyle="1">
    <w:name w:val="Nivel 1"/>
    <w:basedOn w:val="Nivel2"/>
    <w:next w:val="Nivel2"/>
    <w:qFormat/>
    <w:rsid w:val="003629e4"/>
    <w:pPr>
      <w:tabs>
        <w:tab w:val="clear" w:pos="0"/>
        <w:tab w:val="left" w:pos="1755" w:leader="none"/>
      </w:tabs>
      <w:ind w:left="360" w:hanging="360"/>
    </w:pPr>
    <w:rPr>
      <w:b/>
    </w:rPr>
  </w:style>
  <w:style w:type="paragraph" w:styleId="Nivel3" w:customStyle="1">
    <w:name w:val="Nivel 3"/>
    <w:basedOn w:val="Normal"/>
    <w:link w:val="Nivel3Char"/>
    <w:autoRedefine/>
    <w:qFormat/>
    <w:rsid w:val="005d30b6"/>
    <w:pPr>
      <w:tabs>
        <w:tab w:val="clear" w:pos="708"/>
        <w:tab w:val="left" w:pos="0" w:leader="none"/>
        <w:tab w:val="left" w:pos="900" w:leader="none"/>
      </w:tabs>
      <w:spacing w:lineRule="auto" w:line="276" w:before="120" w:after="120"/>
      <w:ind w:left="2268" w:hanging="0"/>
      <w:jc w:val="both"/>
    </w:pPr>
    <w:rPr>
      <w:rFonts w:ascii="Carlito" w:hAnsi="Carlito" w:cs="Arial"/>
      <w:color w:val="000000"/>
    </w:rPr>
  </w:style>
  <w:style w:type="paragraph" w:styleId="Nivel4" w:customStyle="1">
    <w:name w:val="Nivel 4"/>
    <w:basedOn w:val="Nivel3"/>
    <w:link w:val="Nivel4Char"/>
    <w:autoRedefine/>
    <w:qFormat/>
    <w:rsid w:val="00da3ef1"/>
    <w:pPr>
      <w:ind w:left="567" w:hanging="0"/>
    </w:pPr>
    <w:rPr>
      <w:color w:val="auto"/>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 w:val="left" w:pos="1755" w:leader="none"/>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 w:val="left" w:pos="900" w:leader="none"/>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link w:val="CorpodetextoChar"/>
    <w:qFormat/>
    <w:rsid w:val="00cb3192"/>
    <w:pPr>
      <w:spacing w:lineRule="auto" w:line="276" w:before="0" w:after="140"/>
    </w:pPr>
    <w:rPr/>
  </w:style>
  <w:style w:type="paragraph" w:styleId="Ou" w:customStyle="1">
    <w:name w:val="ou"/>
    <w:basedOn w:val="ListParagraph"/>
    <w:link w:val="OuChar"/>
    <w:qFormat/>
    <w:rsid w:val="00f93d80"/>
    <w:pPr>
      <w:spacing w:lineRule="auto" w:line="259" w:before="60" w:after="60"/>
      <w:ind w:left="0" w:hanging="0"/>
      <w:contextualSpacing w:val="false"/>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da3ef1"/>
    <w:pPr/>
    <w:rPr>
      <w:i/>
      <w:iCs/>
      <w:color w:val="FF0000"/>
    </w:rPr>
  </w:style>
  <w:style w:type="paragraph" w:styleId="Nvel3R" w:customStyle="1">
    <w:name w:val="Nível 3-R"/>
    <w:basedOn w:val="Nivel3"/>
    <w:link w:val="Nvel3RChar"/>
    <w:autoRedefine/>
    <w:qFormat/>
    <w:rsid w:val="007772a1"/>
    <w:pPr>
      <w:tabs>
        <w:tab w:val="clear" w:pos="900"/>
        <w:tab w:val="left" w:pos="0" w:leader="none"/>
        <w:tab w:val="left" w:pos="3750" w:leader="none"/>
      </w:tabs>
      <w:ind w:left="2268" w:hanging="851"/>
    </w:pPr>
    <w:rPr>
      <w:color w:val="auto"/>
      <w:lang w:eastAsia="en-US"/>
    </w:rPr>
  </w:style>
  <w:style w:type="paragraph" w:styleId="Nvel4R" w:customStyle="1">
    <w:name w:val="Nível 4-R"/>
    <w:basedOn w:val="Nivel4"/>
    <w:link w:val="Nvel4RChar"/>
    <w:autoRedefine/>
    <w:qFormat/>
    <w:rsid w:val="00da3ef1"/>
    <w:pPr/>
    <w:rPr>
      <w:i/>
      <w:iCs/>
      <w:color w:val="FF0000"/>
    </w:rPr>
  </w:style>
  <w:style w:type="paragraph" w:styleId="Nvel1SemNum" w:customStyle="1">
    <w:name w:val="Nível 1-Sem Num"/>
    <w:basedOn w:val="Nivel01"/>
    <w:link w:val="Nvel1SemNumChar"/>
    <w:autoRedefine/>
    <w:qFormat/>
    <w:rsid w:val="003975c4"/>
    <w:pPr>
      <w:tabs>
        <w:tab w:val="clear" w:pos="0"/>
        <w:tab w:val="left" w:pos="567" w:leader="none"/>
      </w:tabs>
      <w:outlineLvl w:val="1"/>
    </w:pPr>
    <w:rPr>
      <w:rFonts w:ascii="Carlito" w:hAnsi="Carlito"/>
      <w:sz w:val="24"/>
      <w:szCs w:val="24"/>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link w:val="Nivel3erroChar"/>
    <w:qFormat/>
    <w:rsid w:val="005b0afb"/>
    <w:pPr>
      <w:spacing w:lineRule="auto" w:line="240"/>
      <w:ind w:left="425" w:hanging="0"/>
    </w:pPr>
    <w:rPr>
      <w:rFonts w:cs="Tahoma"/>
      <w:color w:val="auto"/>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036ad7"/>
    <w:pPr>
      <w:outlineLvl w:val="9"/>
    </w:pPr>
    <w:rPr>
      <w:lang w:eastAsia="zh-CN" w:bidi="hi-IN"/>
    </w:rPr>
  </w:style>
  <w:style w:type="paragraph" w:styleId="LONormal" w:customStyle="1">
    <w:name w:val="LO-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Times New Roman" w:cs="Times New Roman"/>
      <w:color w:val="000000"/>
      <w:kern w:val="2"/>
      <w:sz w:val="24"/>
      <w:szCs w:val="24"/>
      <w:lang w:val="pt-BR" w:eastAsia="zh-CN" w:bidi="hi-IN"/>
    </w:rPr>
  </w:style>
  <w:style w:type="paragraph" w:styleId="Contedodatabela" w:customStyle="1">
    <w:name w:val="Conteúdo da tabela"/>
    <w:basedOn w:val="Normal"/>
    <w:qFormat/>
    <w:pPr>
      <w:widowControl w:val="false"/>
      <w:suppressLineNumbers/>
    </w:pPr>
    <w:rPr/>
  </w:style>
  <w:style w:type="paragraph" w:styleId="LONormal1">
    <w:name w:val="LO-Normal1"/>
    <w:qFormat/>
    <w:pPr>
      <w:widowControl/>
      <w:suppressAutoHyphens w:val="true"/>
      <w:bidi w:val="0"/>
      <w:spacing w:before="0" w:after="0"/>
      <w:jc w:val="left"/>
    </w:pPr>
    <w:rPr>
      <w:rFonts w:ascii="Times New Roman" w:hAnsi="Times New Roman" w:eastAsia="" w:cs="Times New Roman" w:eastAsiaTheme="minorEastAsia"/>
      <w:color w:val="auto"/>
      <w:kern w:val="0"/>
      <w:sz w:val="20"/>
      <w:szCs w:val="20"/>
      <w:lang w:val="pt-BR" w:eastAsia="en-US" w:bidi="ar-SA"/>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agu/pt-br/composicao/cgu/cgu/guias/gncs_082022.pdf" TargetMode="External"/><Relationship Id="rId2" Type="http://schemas.openxmlformats.org/officeDocument/2006/relationships/hyperlink" Target="https://www.gov.br/agu/pt-br/composicao/cgu/cgu/guias/gncs_082022.pdf" TargetMode="External"/><Relationship Id="rId3" Type="http://schemas.openxmlformats.org/officeDocument/2006/relationships/hyperlink" Target="https://www.gov.br/compras/pt-br/acesso-a-informacao/legislacao/instrucoes-normativas/instrucao-normativa-seges-me-no-81-de-25-de-novembro-de-2022" TargetMode="External"/><Relationship Id="rId4" Type="http://schemas.openxmlformats.org/officeDocument/2006/relationships/hyperlink" Target="https://www.gov.br/compras/pt-br/acesso-a-informacao/legislacao/instrucoes-normativas/instrucao-normativa-seges-me-no-81-de-25-de-novembro-de-2022"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9-2022/2022/Decreto/D11246.htm" TargetMode="External"/><Relationship Id="rId7" Type="http://schemas.openxmlformats.org/officeDocument/2006/relationships/hyperlink" Target="https://www.gov.br/compras/pt-br/acesso-a-informacao/legislacao/instrucoes-normativas/instrucao-normativa-seges-me-no-77-de-4-de-novembro-de-2022"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s://www.gov.br/compras/pt-br/acesso-a-informacao/legislacao/instrucoes-normativas/instrucao-normativa-seges-me-no-77-de-4-de-novembro-de-2022" TargetMode="External"/><Relationship Id="rId10" Type="http://schemas.openxmlformats.org/officeDocument/2006/relationships/hyperlink" Target="https://www.gov.br/compras/pt-br/acesso-a-informacao/legislacao/instrucoes-normativas/instrucao-normativa-seges-me-no-77-de-4-de-novembro-de-2022"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gov.br/compras/pt-br/acesso-a-informacao/legislacao/instrucoes-normativas/instrucao-normativa-no-53-de-8-de-julho-de-2020" TargetMode="External"/><Relationship Id="rId14" Type="http://schemas.openxmlformats.org/officeDocument/2006/relationships/hyperlink" Target="https://www.planalto.gov.br/ccivil_03/constituicao/constituicao.htm"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gov.br/compras/pt-br/acesso-a-informacao/legislacao/instrucoes-normativas/instrucao-normativa-seges-me-no-116-de-21-de-dezembro-de-2021" TargetMode="External"/><Relationship Id="rId17"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116-de-21-de-dezembro-de-2021" TargetMode="External"/><Relationship Id="rId19" Type="http://schemas.openxmlformats.org/officeDocument/2006/relationships/hyperlink" Target="https://www.planalto.gov.br/ccivil_03/_ato2019-2022/2022/decreto/d10977.htm" TargetMode="External"/><Relationship Id="rId20" Type="http://schemas.openxmlformats.org/officeDocument/2006/relationships/hyperlink" Target="https://www.in.gov.br/en/web/dou/-/lei-n-14.195-de-26-de-agosto-de-2021-341049135" TargetMode="External"/><Relationship Id="rId21" Type="http://schemas.openxmlformats.org/officeDocument/2006/relationships/hyperlink" Target="http://www.planalto.gov.br/ccivil_03/_ato2019-2022/2022/lei/L14382.htm" TargetMode="External"/><Relationship Id="rId22" Type="http://schemas.openxmlformats.org/officeDocument/2006/relationships/hyperlink" Target="https://legislacao.presidencia.gov.br/atos/?tipo=LEI&amp;numero=10406&amp;ano=2002&amp;ato=ac5gXVE5ENNpWT07a" TargetMode="External"/><Relationship Id="rId23" Type="http://schemas.openxmlformats.org/officeDocument/2006/relationships/hyperlink" Target="https://www.planalto.gov.br/ccivil_03/leis/l5172compilado.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htm" TargetMode="External"/><Relationship Id="rId29"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seges-me-no-65-de-7-de-julho-de-2021" TargetMode="External"/><Relationship Id="rId31" Type="http://schemas.openxmlformats.org/officeDocument/2006/relationships/hyperlink" Target="https://www.gov.br/compras/pt-br/acesso-a-informacao/legislacao/instrucoes-normativas/instrucao-normativa-seges-me-no-81-de-25-de-nov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planalto.gov.br/ccivil_03/leis/lcp/lcp123.htm" TargetMode="External"/><Relationship Id="rId4" Type="http://schemas.openxmlformats.org/officeDocument/2006/relationships/hyperlink" Target="https://www.gov.br/compras/pt-br/acesso-a-informacao/legislacao/instrucoes-normativas/instrucao-normativa-no-53-de-8-de-julho-de-2020" TargetMode="External"/><Relationship Id="rId5" Type="http://schemas.openxmlformats.org/officeDocument/2006/relationships/hyperlink" Target="http://www.portaldatransparencia.gov.br/ceis" TargetMode="External"/><Relationship Id="rId6" Type="http://schemas.openxmlformats.org/officeDocument/2006/relationships/hyperlink" Target="https://www.portaltransparencia.gov.br/sancoes/cnep"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362BE8-86A6-4598-B1D7-9977F9C130F3}">
  <ds:schemaRefs>
    <ds:schemaRef ds:uri="http://schemas.openxmlformats.org/officeDocument/2006/bibliography"/>
  </ds:schemaRefs>
</ds:datastoreItem>
</file>

<file path=customXml/itemProps2.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58D91C4F-6E30-4B53-AA1B-A13F843D46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679</TotalTime>
  <Application>LibreOffice/7.3.7.2$Linux_X86_64 LibreOffice_project/30$Build-2</Application>
  <AppVersion>15.0000</AppVersion>
  <Pages>17</Pages>
  <Words>4740</Words>
  <Characters>26851</Characters>
  <CharactersWithSpaces>31301</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cp:lastPrinted>2024-04-22T13:42:14Z</cp:lastPrinted>
  <dcterms:modified xsi:type="dcterms:W3CDTF">2024-07-25T07:34:46Z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